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F5AE" w14:textId="77777777" w:rsidR="009103B2" w:rsidRDefault="009103B2" w:rsidP="00B044B2">
      <w:pPr>
        <w:pStyle w:val="NoSpacing"/>
        <w:ind w:right="818"/>
        <w:jc w:val="center"/>
        <w:rPr>
          <w:rFonts w:ascii="Mongolian Baiti" w:hAnsi="Mongolian Baiti" w:cs="Mongolian Baiti"/>
          <w:b/>
          <w:bCs/>
          <w:sz w:val="28"/>
          <w:szCs w:val="28"/>
          <w:u w:val="single"/>
        </w:rPr>
      </w:pPr>
    </w:p>
    <w:p w14:paraId="703C80A3" w14:textId="1532E51B" w:rsidR="00B044B2" w:rsidRPr="00B044B2" w:rsidRDefault="00B044B2" w:rsidP="00B044B2">
      <w:pPr>
        <w:pStyle w:val="NoSpacing"/>
        <w:ind w:right="818"/>
        <w:jc w:val="center"/>
        <w:rPr>
          <w:rFonts w:ascii="Mongolian Baiti" w:hAnsi="Mongolian Baiti" w:cs="Mongolian Baiti"/>
          <w:b/>
          <w:bCs/>
          <w:sz w:val="28"/>
          <w:szCs w:val="28"/>
          <w:u w:val="single"/>
        </w:rPr>
      </w:pPr>
      <w:bookmarkStart w:id="0" w:name="_GoBack"/>
      <w:bookmarkEnd w:id="0"/>
      <w:r w:rsidRPr="00B044B2">
        <w:rPr>
          <w:rFonts w:ascii="Mongolian Baiti" w:hAnsi="Mongolian Baiti" w:cs="Mongolian Baiti"/>
          <w:b/>
          <w:bCs/>
          <w:sz w:val="28"/>
          <w:szCs w:val="28"/>
          <w:u w:val="single"/>
        </w:rPr>
        <w:t>AGENDA OF MEGHALAYA STATE LEVEL BANKERS COMMITTEE (SLBC) MEETING FOR</w:t>
      </w:r>
      <w:r>
        <w:rPr>
          <w:rFonts w:ascii="Mongolian Baiti" w:hAnsi="Mongolian Baiti" w:cs="Mongolian Baiti"/>
          <w:b/>
          <w:bCs/>
          <w:sz w:val="28"/>
          <w:szCs w:val="28"/>
          <w:u w:val="single"/>
        </w:rPr>
        <w:t xml:space="preserve"> </w:t>
      </w:r>
      <w:r w:rsidRPr="00B044B2">
        <w:rPr>
          <w:rFonts w:ascii="Mongolian Baiti" w:hAnsi="Mongolian Baiti" w:cs="Mongolian Baiti"/>
          <w:b/>
          <w:bCs/>
          <w:sz w:val="28"/>
          <w:szCs w:val="28"/>
          <w:u w:val="single"/>
        </w:rPr>
        <w:t>THE QUARTER ENDED MARCH 202</w:t>
      </w:r>
      <w:r w:rsidR="00E67D4A">
        <w:rPr>
          <w:rFonts w:ascii="Mongolian Baiti" w:hAnsi="Mongolian Baiti" w:cs="Mongolian Baiti"/>
          <w:b/>
          <w:bCs/>
          <w:sz w:val="28"/>
          <w:szCs w:val="28"/>
          <w:u w:val="single"/>
        </w:rPr>
        <w:t>3</w:t>
      </w:r>
      <w:r w:rsidRPr="00B044B2">
        <w:rPr>
          <w:rFonts w:ascii="Mongolian Baiti" w:hAnsi="Mongolian Baiti" w:cs="Mongolian Baiti"/>
          <w:b/>
          <w:bCs/>
          <w:sz w:val="28"/>
          <w:szCs w:val="28"/>
          <w:u w:val="single"/>
        </w:rPr>
        <w:t xml:space="preserve"> </w:t>
      </w:r>
    </w:p>
    <w:p w14:paraId="5C1FF0B6" w14:textId="77777777" w:rsidR="00B044B2" w:rsidRDefault="00B044B2" w:rsidP="00B044B2">
      <w:pPr>
        <w:pStyle w:val="NoSpacing"/>
        <w:ind w:right="-694"/>
        <w:jc w:val="center"/>
        <w:rPr>
          <w:rFonts w:ascii="Arial" w:hAnsi="Arial" w:cs="Arial"/>
          <w:b/>
          <w:bCs/>
          <w:szCs w:val="22"/>
          <w:u w:val="single"/>
        </w:rPr>
      </w:pPr>
    </w:p>
    <w:p w14:paraId="50626DED" w14:textId="77777777" w:rsidR="00B044B2" w:rsidRDefault="00B044B2" w:rsidP="00B044B2">
      <w:pPr>
        <w:pStyle w:val="NoSpacing"/>
        <w:jc w:val="both"/>
        <w:rPr>
          <w:rFonts w:ascii="Arial Narrow" w:hAnsi="Arial Narrow" w:cs="Arial"/>
          <w:b/>
          <w:bCs/>
          <w:szCs w:val="22"/>
          <w:u w:val="single"/>
        </w:rPr>
      </w:pPr>
      <w:r w:rsidRPr="00510720">
        <w:rPr>
          <w:rFonts w:ascii="Arial Narrow" w:hAnsi="Arial Narrow" w:cs="Arial"/>
          <w:b/>
          <w:bCs/>
          <w:szCs w:val="22"/>
          <w:u w:val="single"/>
        </w:rPr>
        <w:t>Adoption of minutes:</w:t>
      </w:r>
    </w:p>
    <w:p w14:paraId="6B2007F1" w14:textId="77777777" w:rsidR="00B044B2" w:rsidRPr="00510720" w:rsidRDefault="00B044B2" w:rsidP="00B044B2">
      <w:pPr>
        <w:pStyle w:val="NoSpacing"/>
        <w:jc w:val="both"/>
        <w:rPr>
          <w:rFonts w:ascii="Arial Narrow" w:hAnsi="Arial Narrow" w:cs="Arial"/>
          <w:b/>
          <w:bCs/>
          <w:szCs w:val="22"/>
          <w:u w:val="single"/>
        </w:rPr>
      </w:pPr>
    </w:p>
    <w:p w14:paraId="46DDA981" w14:textId="09BEE554" w:rsidR="00B044B2" w:rsidRPr="000466DD" w:rsidRDefault="00B044B2" w:rsidP="00B044B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66DD">
        <w:rPr>
          <w:rFonts w:ascii="Arial" w:hAnsi="Arial" w:cs="Arial"/>
          <w:sz w:val="24"/>
          <w:szCs w:val="24"/>
        </w:rPr>
        <w:t xml:space="preserve">The minutes of the </w:t>
      </w:r>
      <w:r w:rsidR="00100B96">
        <w:rPr>
          <w:rFonts w:ascii="Arial" w:hAnsi="Arial" w:cs="Arial"/>
          <w:sz w:val="24"/>
          <w:szCs w:val="24"/>
        </w:rPr>
        <w:t xml:space="preserve">last </w:t>
      </w:r>
      <w:r w:rsidRPr="000466DD">
        <w:rPr>
          <w:rFonts w:ascii="Arial" w:hAnsi="Arial" w:cs="Arial"/>
          <w:sz w:val="24"/>
          <w:szCs w:val="24"/>
        </w:rPr>
        <w:t>State Level Bankers’ Committee (SLBC) meeting held on 2</w:t>
      </w:r>
      <w:r w:rsidR="00FB26DD" w:rsidRPr="000466DD">
        <w:rPr>
          <w:rFonts w:ascii="Arial" w:hAnsi="Arial" w:cs="Arial"/>
          <w:sz w:val="24"/>
          <w:szCs w:val="24"/>
        </w:rPr>
        <w:t>4.03.2023</w:t>
      </w:r>
      <w:r w:rsidRPr="000466DD">
        <w:rPr>
          <w:rFonts w:ascii="Arial" w:hAnsi="Arial" w:cs="Arial"/>
          <w:sz w:val="24"/>
          <w:szCs w:val="24"/>
        </w:rPr>
        <w:t xml:space="preserve"> for the Quarter ending </w:t>
      </w:r>
      <w:r w:rsidR="00FB26DD" w:rsidRPr="000466DD">
        <w:rPr>
          <w:rFonts w:ascii="Arial" w:hAnsi="Arial" w:cs="Arial"/>
          <w:sz w:val="24"/>
          <w:szCs w:val="24"/>
        </w:rPr>
        <w:t>December 2022</w:t>
      </w:r>
      <w:r w:rsidRPr="000466DD">
        <w:rPr>
          <w:rFonts w:ascii="Arial" w:hAnsi="Arial" w:cs="Arial"/>
          <w:sz w:val="24"/>
          <w:szCs w:val="24"/>
        </w:rPr>
        <w:t xml:space="preserve"> was circulated to all members and there </w:t>
      </w:r>
      <w:r w:rsidR="00276A7B">
        <w:rPr>
          <w:rFonts w:ascii="Arial" w:hAnsi="Arial" w:cs="Arial"/>
          <w:sz w:val="24"/>
          <w:szCs w:val="24"/>
        </w:rPr>
        <w:t>was</w:t>
      </w:r>
      <w:r w:rsidRPr="000466DD">
        <w:rPr>
          <w:rFonts w:ascii="Arial" w:hAnsi="Arial" w:cs="Arial"/>
          <w:sz w:val="24"/>
          <w:szCs w:val="24"/>
        </w:rPr>
        <w:t xml:space="preserve"> no suggestion for change</w:t>
      </w:r>
      <w:r w:rsidR="00BB4D93">
        <w:rPr>
          <w:rFonts w:ascii="Arial" w:hAnsi="Arial" w:cs="Arial"/>
          <w:sz w:val="24"/>
          <w:szCs w:val="24"/>
        </w:rPr>
        <w:t>s</w:t>
      </w:r>
      <w:r w:rsidRPr="000466DD">
        <w:rPr>
          <w:rFonts w:ascii="Arial" w:hAnsi="Arial" w:cs="Arial"/>
          <w:sz w:val="24"/>
          <w:szCs w:val="24"/>
        </w:rPr>
        <w:t xml:space="preserve"> in the minutes. As no request for change</w:t>
      </w:r>
      <w:r w:rsidR="007A410B">
        <w:rPr>
          <w:rFonts w:ascii="Arial" w:hAnsi="Arial" w:cs="Arial"/>
          <w:sz w:val="24"/>
          <w:szCs w:val="24"/>
        </w:rPr>
        <w:t>s</w:t>
      </w:r>
      <w:r w:rsidRPr="000466DD">
        <w:rPr>
          <w:rFonts w:ascii="Arial" w:hAnsi="Arial" w:cs="Arial"/>
          <w:sz w:val="24"/>
          <w:szCs w:val="24"/>
        </w:rPr>
        <w:t xml:space="preserve"> has been received, the minutes of the </w:t>
      </w:r>
      <w:r w:rsidR="007A410B">
        <w:rPr>
          <w:rFonts w:ascii="Arial" w:hAnsi="Arial" w:cs="Arial"/>
          <w:sz w:val="24"/>
          <w:szCs w:val="24"/>
        </w:rPr>
        <w:t>last</w:t>
      </w:r>
      <w:r w:rsidRPr="000466DD">
        <w:rPr>
          <w:rFonts w:ascii="Arial" w:hAnsi="Arial" w:cs="Arial"/>
          <w:sz w:val="24"/>
          <w:szCs w:val="24"/>
        </w:rPr>
        <w:t xml:space="preserve"> SLBC meeting may be </w:t>
      </w:r>
      <w:r w:rsidR="00C72880">
        <w:rPr>
          <w:rFonts w:ascii="Arial" w:hAnsi="Arial" w:cs="Arial"/>
          <w:sz w:val="24"/>
          <w:szCs w:val="24"/>
        </w:rPr>
        <w:t>adopted</w:t>
      </w:r>
      <w:r w:rsidRPr="000466DD">
        <w:rPr>
          <w:rFonts w:ascii="Arial" w:hAnsi="Arial" w:cs="Arial"/>
          <w:sz w:val="24"/>
          <w:szCs w:val="24"/>
        </w:rPr>
        <w:t>.</w:t>
      </w:r>
    </w:p>
    <w:p w14:paraId="40BC8491" w14:textId="77777777" w:rsidR="00B044B2" w:rsidRPr="000466DD" w:rsidRDefault="00B044B2" w:rsidP="00B044B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368C30" w14:textId="77777777" w:rsidR="00B044B2" w:rsidRPr="00C51B09" w:rsidRDefault="00B044B2" w:rsidP="00B044B2">
      <w:pPr>
        <w:pStyle w:val="NoSpacing"/>
        <w:jc w:val="both"/>
        <w:rPr>
          <w:rFonts w:ascii="Arial" w:hAnsi="Arial" w:cs="Arial"/>
          <w:b/>
          <w:bCs/>
          <w:szCs w:val="22"/>
          <w:u w:val="single"/>
        </w:rPr>
      </w:pPr>
      <w:r w:rsidRPr="00C51B09">
        <w:rPr>
          <w:rFonts w:ascii="Arial" w:hAnsi="Arial" w:cs="Arial"/>
          <w:b/>
          <w:bCs/>
          <w:szCs w:val="22"/>
          <w:u w:val="single"/>
        </w:rPr>
        <w:t>Agenda No.1</w:t>
      </w:r>
    </w:p>
    <w:p w14:paraId="40C2C2C2" w14:textId="77777777" w:rsidR="00E87E7E" w:rsidRDefault="00E87E7E" w:rsidP="00D433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4A5F625" w14:textId="703CA6A8" w:rsidR="00D4330A" w:rsidRDefault="000466DD" w:rsidP="00D433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4330A" w:rsidRPr="004976A1">
        <w:rPr>
          <w:rFonts w:ascii="Arial" w:hAnsi="Arial" w:cs="Arial"/>
          <w:sz w:val="24"/>
          <w:szCs w:val="24"/>
        </w:rPr>
        <w:t>Action Taken Report (ATR)</w:t>
      </w:r>
      <w:r w:rsidR="0038469C">
        <w:rPr>
          <w:rFonts w:ascii="Arial" w:hAnsi="Arial" w:cs="Arial"/>
          <w:sz w:val="24"/>
          <w:szCs w:val="24"/>
        </w:rPr>
        <w:t xml:space="preserve"> compliance pertains to the action points </w:t>
      </w:r>
      <w:r w:rsidR="00E87E7E">
        <w:rPr>
          <w:rFonts w:ascii="Arial" w:hAnsi="Arial" w:cs="Arial"/>
          <w:sz w:val="24"/>
          <w:szCs w:val="24"/>
        </w:rPr>
        <w:t>of</w:t>
      </w:r>
      <w:r w:rsidR="00D4330A">
        <w:rPr>
          <w:rFonts w:ascii="Arial" w:hAnsi="Arial" w:cs="Arial"/>
          <w:sz w:val="24"/>
          <w:szCs w:val="24"/>
        </w:rPr>
        <w:t xml:space="preserve"> the quarter ending</w:t>
      </w:r>
      <w:r w:rsidR="00D4330A" w:rsidRPr="004976A1">
        <w:rPr>
          <w:rFonts w:ascii="Arial" w:hAnsi="Arial" w:cs="Arial"/>
          <w:sz w:val="24"/>
          <w:szCs w:val="24"/>
        </w:rPr>
        <w:t xml:space="preserve"> </w:t>
      </w:r>
      <w:r w:rsidR="00D4330A">
        <w:rPr>
          <w:rFonts w:ascii="Arial" w:hAnsi="Arial" w:cs="Arial"/>
          <w:sz w:val="24"/>
          <w:szCs w:val="24"/>
        </w:rPr>
        <w:t>December</w:t>
      </w:r>
      <w:r w:rsidR="00D4330A" w:rsidRPr="004976A1">
        <w:rPr>
          <w:rFonts w:ascii="Arial" w:hAnsi="Arial" w:cs="Arial"/>
          <w:sz w:val="24"/>
          <w:szCs w:val="24"/>
        </w:rPr>
        <w:t xml:space="preserve"> 2022 </w:t>
      </w:r>
      <w:r w:rsidR="00D4330A">
        <w:rPr>
          <w:rFonts w:ascii="Arial" w:hAnsi="Arial" w:cs="Arial"/>
          <w:sz w:val="24"/>
          <w:szCs w:val="24"/>
        </w:rPr>
        <w:t xml:space="preserve">is mentioned below </w:t>
      </w:r>
    </w:p>
    <w:p w14:paraId="1DE0CE4C" w14:textId="77777777" w:rsidR="00D4330A" w:rsidRPr="00D138BD" w:rsidRDefault="00D4330A" w:rsidP="00D4330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W w:w="11560" w:type="dxa"/>
        <w:tblInd w:w="-5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4050"/>
        <w:gridCol w:w="2880"/>
        <w:gridCol w:w="3690"/>
        <w:gridCol w:w="40"/>
      </w:tblGrid>
      <w:tr w:rsidR="00D4330A" w:rsidRPr="00D138BD" w14:paraId="38C3B8A5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FFF7" w14:textId="77777777" w:rsidR="00D4330A" w:rsidRPr="00D138BD" w:rsidRDefault="00D4330A" w:rsidP="00967614">
            <w:pPr>
              <w:pStyle w:val="NoSpacing"/>
              <w:spacing w:line="240" w:lineRule="auto"/>
              <w:ind w:left="18" w:hanging="18"/>
              <w:jc w:val="center"/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</w:pPr>
            <w:r w:rsidRPr="00D138BD"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S.</w:t>
            </w:r>
            <w:r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D138BD"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No.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69613" w14:textId="77777777" w:rsidR="00D4330A" w:rsidRPr="00D138BD" w:rsidRDefault="00D4330A" w:rsidP="00967614">
            <w:pPr>
              <w:pStyle w:val="NoSpacing"/>
              <w:spacing w:line="240" w:lineRule="auto"/>
              <w:ind w:left="18" w:hanging="18"/>
              <w:jc w:val="center"/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</w:pPr>
            <w:r w:rsidRPr="00D138BD"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PARTICULARS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2D99" w14:textId="77777777" w:rsidR="00D4330A" w:rsidRPr="00D138BD" w:rsidRDefault="00D4330A" w:rsidP="00967614">
            <w:pPr>
              <w:pStyle w:val="NoSpacing"/>
              <w:ind w:left="18" w:hanging="18"/>
              <w:jc w:val="center"/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</w:pPr>
            <w:r w:rsidRPr="00D138BD"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Action to be taken by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0021" w14:textId="77777777" w:rsidR="00D4330A" w:rsidRPr="00D138BD" w:rsidRDefault="00D4330A" w:rsidP="00967614">
            <w:pPr>
              <w:pStyle w:val="NoSpacing"/>
              <w:ind w:left="18" w:hanging="18"/>
              <w:jc w:val="center"/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</w:pPr>
            <w:r w:rsidRPr="00D138BD">
              <w:rPr>
                <w:rFonts w:ascii="Arial" w:hAnsi="Arial" w:cs="Arial"/>
                <w:b/>
                <w:bCs/>
                <w:kern w:val="3"/>
                <w:sz w:val="24"/>
                <w:szCs w:val="24"/>
              </w:rPr>
              <w:t>Compliance Remarks/ ATR</w:t>
            </w:r>
          </w:p>
        </w:tc>
      </w:tr>
      <w:tr w:rsidR="00D4330A" w:rsidRPr="00F703CA" w14:paraId="04A1477B" w14:textId="77777777" w:rsidTr="00610967">
        <w:trPr>
          <w:gridAfter w:val="1"/>
          <w:wAfter w:w="40" w:type="dxa"/>
          <w:trHeight w:val="208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76CB" w14:textId="77777777" w:rsidR="00D4330A" w:rsidRDefault="00D4330A" w:rsidP="00967614">
            <w:pPr>
              <w:pStyle w:val="NoSpacing"/>
              <w:spacing w:line="240" w:lineRule="auto"/>
              <w:ind w:left="18" w:hanging="18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65CD3651" w14:textId="77777777" w:rsidR="00D4330A" w:rsidRDefault="00D4330A" w:rsidP="00967614">
            <w:pPr>
              <w:pStyle w:val="NoSpacing"/>
              <w:spacing w:line="240" w:lineRule="auto"/>
              <w:ind w:left="18" w:hanging="18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0CA9A2D6" w14:textId="77777777" w:rsidR="00D4330A" w:rsidRDefault="00D4330A" w:rsidP="00967614">
            <w:pPr>
              <w:pStyle w:val="NoSpacing"/>
              <w:spacing w:line="240" w:lineRule="auto"/>
              <w:ind w:left="18" w:hanging="18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62D8A450" w14:textId="77777777" w:rsidR="00D4330A" w:rsidRPr="00F703CA" w:rsidRDefault="00D4330A" w:rsidP="00967614">
            <w:pPr>
              <w:pStyle w:val="NoSpacing"/>
              <w:spacing w:line="240" w:lineRule="auto"/>
              <w:ind w:left="18" w:hanging="18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F703CA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7039" w14:textId="77777777" w:rsidR="00D4330A" w:rsidRDefault="00D4330A" w:rsidP="00967614">
            <w:pPr>
              <w:pStyle w:val="NoSpacing"/>
              <w:spacing w:after="240" w:line="276" w:lineRule="auto"/>
              <w:ind w:left="18" w:hanging="18"/>
              <w:jc w:val="both"/>
              <w:rPr>
                <w:rFonts w:ascii="Bookman Old Style" w:hAnsi="Bookman Old Style" w:cs="Arial"/>
                <w:color w:val="000000"/>
              </w:rPr>
            </w:pPr>
            <w:r w:rsidRPr="00C51B09">
              <w:rPr>
                <w:rFonts w:ascii="Arial" w:hAnsi="Arial" w:cs="Arial"/>
                <w:color w:val="0D0D0D" w:themeColor="text1" w:themeTint="F2"/>
              </w:rPr>
              <w:t xml:space="preserve">There are </w:t>
            </w:r>
            <w:r>
              <w:rPr>
                <w:rFonts w:ascii="Arial" w:hAnsi="Arial" w:cs="Arial"/>
                <w:color w:val="0D0D0D" w:themeColor="text1" w:themeTint="F2"/>
              </w:rPr>
              <w:t>eight</w:t>
            </w:r>
            <w:r w:rsidRPr="00C51B09">
              <w:rPr>
                <w:rFonts w:ascii="Arial" w:hAnsi="Arial" w:cs="Arial"/>
                <w:color w:val="0D0D0D" w:themeColor="text1" w:themeTint="F2"/>
              </w:rPr>
              <w:t xml:space="preserve"> banks with CD ratio of less than 25% 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during the quarter ending December 2022. Banks are requested </w:t>
            </w:r>
            <w:r w:rsidRPr="00C431A5">
              <w:rPr>
                <w:rFonts w:ascii="Bookman Old Style" w:hAnsi="Bookman Old Style" w:cs="Arial"/>
                <w:color w:val="000000"/>
              </w:rPr>
              <w:t>to focus their lending in priority sectors as it is related with various</w:t>
            </w:r>
            <w:r>
              <w:rPr>
                <w:rFonts w:ascii="Bookman Old Style" w:hAnsi="Bookman Old Style" w:cs="Arial"/>
                <w:color w:val="000000"/>
              </w:rPr>
              <w:t xml:space="preserve"> </w:t>
            </w:r>
            <w:r w:rsidRPr="00C431A5">
              <w:rPr>
                <w:rFonts w:ascii="Bookman Old Style" w:hAnsi="Bookman Old Style" w:cs="Arial"/>
                <w:color w:val="000000"/>
              </w:rPr>
              <w:t>developmental schemes.</w:t>
            </w:r>
          </w:p>
          <w:p w14:paraId="0CF20869" w14:textId="4F68E543" w:rsidR="00D4330A" w:rsidRPr="00B26471" w:rsidRDefault="00D4330A" w:rsidP="00967614">
            <w:pPr>
              <w:pStyle w:val="NoSpacing"/>
              <w:spacing w:after="240" w:line="276" w:lineRule="auto"/>
              <w:ind w:left="18" w:hanging="18"/>
              <w:jc w:val="both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 w:cstheme="minorBidi"/>
                <w:sz w:val="24"/>
                <w:szCs w:val="24"/>
              </w:rPr>
              <w:t xml:space="preserve">The Chief Secretary </w:t>
            </w:r>
            <w:r w:rsidRPr="00C431A5">
              <w:rPr>
                <w:rFonts w:ascii="Bookman Old Style" w:hAnsi="Bookman Old Style" w:cstheme="minorBidi"/>
                <w:sz w:val="24"/>
                <w:szCs w:val="24"/>
              </w:rPr>
              <w:t xml:space="preserve">noted with concern the poor CD ratio of Private </w:t>
            </w:r>
            <w:r>
              <w:rPr>
                <w:rFonts w:ascii="Bookman Old Style" w:hAnsi="Bookman Old Style" w:cstheme="minorBidi"/>
                <w:sz w:val="24"/>
                <w:szCs w:val="24"/>
              </w:rPr>
              <w:t>B</w:t>
            </w:r>
            <w:r w:rsidRPr="00C431A5">
              <w:rPr>
                <w:rFonts w:ascii="Bookman Old Style" w:hAnsi="Bookman Old Style" w:cstheme="minorBidi"/>
                <w:sz w:val="24"/>
                <w:szCs w:val="24"/>
              </w:rPr>
              <w:t>anks at 32.77</w:t>
            </w:r>
            <w:r>
              <w:rPr>
                <w:rFonts w:ascii="Bookman Old Style" w:hAnsi="Bookman Old Style" w:cstheme="minorBidi"/>
                <w:sz w:val="24"/>
                <w:szCs w:val="24"/>
              </w:rPr>
              <w:t xml:space="preserve"> against the State CD ratio of 45.69%</w:t>
            </w:r>
            <w:r w:rsidR="00C94F5E">
              <w:rPr>
                <w:rFonts w:ascii="Bookman Old Style" w:hAnsi="Bookman Old Style" w:cstheme="minorBidi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9657C" w14:textId="388DDD33" w:rsidR="00D4330A" w:rsidRDefault="00D4330A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Jana Small Finance Bank, KMB, Yes Bank, South Indian Bank, IDFC Bank, Union Bank, Axis Bank, Central Bank of India</w:t>
            </w:r>
            <w:r w:rsidR="005F57EE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(With less than 25% CD ratio)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>.</w:t>
            </w:r>
          </w:p>
          <w:p w14:paraId="00F70883" w14:textId="16534374" w:rsidR="00D4330A" w:rsidRDefault="00D4330A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  <w:p w14:paraId="134F71A4" w14:textId="77777777" w:rsidR="00501569" w:rsidRDefault="00501569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  <w:p w14:paraId="5DF31F38" w14:textId="77777777" w:rsidR="00D4330A" w:rsidRPr="00F703CA" w:rsidRDefault="00D4330A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Private banks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7F45" w14:textId="29E2B62B" w:rsidR="00D4330A" w:rsidRDefault="00D4330A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Out of eight banks, three banks </w:t>
            </w:r>
            <w:proofErr w:type="spellStart"/>
            <w:r>
              <w:rPr>
                <w:rFonts w:ascii="Arial Nova" w:hAnsi="Arial Nova" w:cs="Arial"/>
                <w:kern w:val="3"/>
                <w:sz w:val="24"/>
                <w:szCs w:val="24"/>
              </w:rPr>
              <w:t>i.e</w:t>
            </w:r>
            <w:proofErr w:type="spellEnd"/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KMB, Yes Bank, and CBI have crossed the CD ratio benchmark of 25% </w:t>
            </w:r>
            <w:r w:rsidR="00C94F5E">
              <w:rPr>
                <w:rFonts w:ascii="Arial Nova" w:hAnsi="Arial Nova" w:cs="Arial"/>
                <w:kern w:val="3"/>
                <w:sz w:val="24"/>
                <w:szCs w:val="24"/>
              </w:rPr>
              <w:t>during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</w:t>
            </w:r>
            <w:r w:rsidR="00833863">
              <w:rPr>
                <w:rFonts w:ascii="Arial Nova" w:hAnsi="Arial Nova" w:cs="Arial"/>
                <w:kern w:val="3"/>
                <w:sz w:val="24"/>
                <w:szCs w:val="24"/>
              </w:rPr>
              <w:t>March-2023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quarter. </w:t>
            </w:r>
            <w:r w:rsidR="0075469E">
              <w:rPr>
                <w:rFonts w:ascii="Arial Nova" w:hAnsi="Arial Nova" w:cs="Arial"/>
                <w:kern w:val="3"/>
                <w:sz w:val="24"/>
                <w:szCs w:val="24"/>
              </w:rPr>
              <w:t>As on 31.03.2023 there are SIX banks with less than 25% CD ratio. B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>anks have assured to extend more loans under priority sectors.</w:t>
            </w:r>
          </w:p>
          <w:p w14:paraId="7B7C6D01" w14:textId="77777777" w:rsidR="00D4330A" w:rsidRDefault="00D4330A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  <w:p w14:paraId="6F6EB1A0" w14:textId="48D17DE0" w:rsidR="00D4330A" w:rsidRPr="00F703CA" w:rsidRDefault="00D4330A" w:rsidP="00967614">
            <w:pPr>
              <w:pStyle w:val="NoSpacing"/>
              <w:ind w:left="18" w:hanging="18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The CD ratio of private banks as on </w:t>
            </w:r>
            <w:r w:rsidR="005F57EE">
              <w:rPr>
                <w:rFonts w:ascii="Arial Nova" w:hAnsi="Arial Nova" w:cs="Arial"/>
                <w:kern w:val="3"/>
                <w:sz w:val="24"/>
                <w:szCs w:val="24"/>
              </w:rPr>
              <w:t>March 31</w:t>
            </w:r>
            <w:r w:rsidR="005F57EE" w:rsidRPr="005F57EE">
              <w:rPr>
                <w:rFonts w:ascii="Arial Nova" w:hAnsi="Arial Nova" w:cs="Arial"/>
                <w:kern w:val="3"/>
                <w:sz w:val="24"/>
                <w:szCs w:val="24"/>
                <w:vertAlign w:val="superscript"/>
              </w:rPr>
              <w:t>st</w:t>
            </w:r>
            <w:proofErr w:type="gramStart"/>
            <w:r w:rsidR="005F57EE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>2023</w:t>
            </w:r>
            <w:proofErr w:type="gramEnd"/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is 34.22%</w:t>
            </w:r>
          </w:p>
        </w:tc>
      </w:tr>
      <w:tr w:rsidR="00D4330A" w:rsidRPr="00F703CA" w14:paraId="7D920AF3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F301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457B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4A8A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5537" w14:textId="77777777" w:rsidR="00D4330A" w:rsidRPr="00F703CA" w:rsidRDefault="00D4330A" w:rsidP="00613D5D">
            <w:pPr>
              <w:pStyle w:val="NoSpacing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</w:tr>
      <w:tr w:rsidR="00D4330A" w:rsidRPr="00F703CA" w14:paraId="3278A63D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02A9" w14:textId="77777777" w:rsidR="00D4330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2F620D4C" w14:textId="77777777" w:rsidR="00D4330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5FA4F8C5" w14:textId="77777777" w:rsidR="00D4330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56E88770" w14:textId="77777777" w:rsidR="00D4330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31A0C6C7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F703CA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9A21" w14:textId="77777777" w:rsidR="00D4330A" w:rsidRDefault="00D4330A" w:rsidP="00613D5D">
            <w:pPr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Nine</w:t>
            </w:r>
            <w:r w:rsidRPr="00C431A5">
              <w:rPr>
                <w:rFonts w:ascii="Bookman Old Style" w:hAnsi="Bookman Old Style" w:cs="Arial"/>
                <w:color w:val="000000"/>
              </w:rPr>
              <w:t xml:space="preserve"> districts identified by RBI with low priority sector lending are East Garo, East </w:t>
            </w:r>
            <w:proofErr w:type="spellStart"/>
            <w:r w:rsidRPr="00C431A5">
              <w:rPr>
                <w:rFonts w:ascii="Bookman Old Style" w:hAnsi="Bookman Old Style" w:cs="Arial"/>
                <w:color w:val="000000"/>
              </w:rPr>
              <w:t>Jaintia</w:t>
            </w:r>
            <w:proofErr w:type="spellEnd"/>
            <w:r w:rsidRPr="00C431A5">
              <w:rPr>
                <w:rFonts w:ascii="Bookman Old Style" w:hAnsi="Bookman Old Style" w:cs="Arial"/>
                <w:color w:val="000000"/>
              </w:rPr>
              <w:t xml:space="preserve">, North Garo, South Garo, South West Khasi, West Garo, West Khasi and South West Garo Hills districts. </w:t>
            </w:r>
            <w:r>
              <w:rPr>
                <w:rFonts w:ascii="Bookman Old Style" w:hAnsi="Bookman Old Style" w:cs="Arial"/>
                <w:color w:val="000000"/>
              </w:rPr>
              <w:t xml:space="preserve">The </w:t>
            </w:r>
            <w:r w:rsidRPr="00C431A5">
              <w:rPr>
                <w:rFonts w:ascii="Bookman Old Style" w:hAnsi="Bookman Old Style" w:cs="Arial"/>
                <w:color w:val="000000"/>
              </w:rPr>
              <w:t xml:space="preserve">LDMs are requested to take up the matter as one of the Agenda in DCC/ DLRC meeting </w:t>
            </w:r>
          </w:p>
          <w:p w14:paraId="3283DC06" w14:textId="77777777" w:rsidR="00D4330A" w:rsidRPr="00F703CA" w:rsidRDefault="00D4330A" w:rsidP="00613D5D">
            <w:pPr>
              <w:pStyle w:val="NoSpacing"/>
              <w:spacing w:line="240" w:lineRule="auto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ABB9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LDM of </w:t>
            </w:r>
            <w:r w:rsidRPr="00C431A5">
              <w:rPr>
                <w:rFonts w:ascii="Bookman Old Style" w:hAnsi="Bookman Old Style" w:cs="Arial"/>
                <w:color w:val="000000"/>
              </w:rPr>
              <w:t xml:space="preserve">East Garo, East </w:t>
            </w:r>
            <w:proofErr w:type="spellStart"/>
            <w:r w:rsidRPr="00C431A5">
              <w:rPr>
                <w:rFonts w:ascii="Bookman Old Style" w:hAnsi="Bookman Old Style" w:cs="Arial"/>
                <w:color w:val="000000"/>
              </w:rPr>
              <w:t>Jaintia</w:t>
            </w:r>
            <w:proofErr w:type="spellEnd"/>
            <w:r w:rsidRPr="00C431A5">
              <w:rPr>
                <w:rFonts w:ascii="Bookman Old Style" w:hAnsi="Bookman Old Style" w:cs="Arial"/>
                <w:color w:val="000000"/>
              </w:rPr>
              <w:t>, North Garo, South Garo, South West Khasi, West Garo, West Khasi and South West Garo Hills districts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E02" w14:textId="6EE23610" w:rsidR="00D4330A" w:rsidRPr="00F703CA" w:rsidRDefault="00AD5329" w:rsidP="00FB0780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Districts with </w:t>
            </w:r>
            <w:r w:rsidR="00FB0780">
              <w:rPr>
                <w:rFonts w:ascii="Arial Nova" w:hAnsi="Arial Nova" w:cs="Arial"/>
                <w:kern w:val="3"/>
                <w:sz w:val="24"/>
                <w:szCs w:val="24"/>
              </w:rPr>
              <w:t xml:space="preserve">low 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CD ratio </w:t>
            </w:r>
            <w:r w:rsidR="00FB0780">
              <w:rPr>
                <w:rFonts w:ascii="Arial Nova" w:hAnsi="Arial Nova" w:cs="Arial"/>
                <w:kern w:val="3"/>
                <w:sz w:val="24"/>
                <w:szCs w:val="24"/>
              </w:rPr>
              <w:t xml:space="preserve">and low priority sector </w:t>
            </w:r>
            <w:r w:rsidR="007948B6">
              <w:rPr>
                <w:rFonts w:ascii="Arial Nova" w:hAnsi="Arial Nova" w:cs="Arial"/>
                <w:kern w:val="3"/>
                <w:sz w:val="24"/>
                <w:szCs w:val="24"/>
              </w:rPr>
              <w:t>advances</w:t>
            </w:r>
            <w:r w:rsidR="00FB0780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have been advised to include one Agenda under DCC/ DLRC or Special DCC meetings 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with </w:t>
            </w:r>
            <w:r w:rsidR="007948B6">
              <w:rPr>
                <w:rFonts w:ascii="Arial Nova" w:hAnsi="Arial Nova" w:cs="Arial"/>
                <w:kern w:val="3"/>
                <w:sz w:val="24"/>
                <w:szCs w:val="24"/>
              </w:rPr>
              <w:t xml:space="preserve">suitable 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strategies for the banks to </w:t>
            </w:r>
            <w:r w:rsidR="00FB0780">
              <w:rPr>
                <w:rFonts w:ascii="Arial Nova" w:hAnsi="Arial Nova" w:cs="Arial"/>
                <w:kern w:val="3"/>
                <w:sz w:val="24"/>
                <w:szCs w:val="24"/>
              </w:rPr>
              <w:t>step up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lending </w:t>
            </w:r>
            <w:r w:rsidR="00FB0780">
              <w:rPr>
                <w:rFonts w:ascii="Arial Nova" w:hAnsi="Arial Nova" w:cs="Arial"/>
                <w:kern w:val="3"/>
                <w:sz w:val="24"/>
                <w:szCs w:val="24"/>
              </w:rPr>
              <w:t>in priority sectors</w:t>
            </w:r>
          </w:p>
        </w:tc>
      </w:tr>
      <w:tr w:rsidR="00D4330A" w:rsidRPr="00F703CA" w14:paraId="7621211F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3EE3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644E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7D603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E41E" w14:textId="77777777" w:rsidR="00D4330A" w:rsidRPr="00F703CA" w:rsidRDefault="00D4330A" w:rsidP="00613D5D">
            <w:pPr>
              <w:pStyle w:val="NoSpacing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</w:tr>
      <w:tr w:rsidR="00D4330A" w:rsidRPr="00F703CA" w14:paraId="07F7C656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9460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F703CA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3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194A" w14:textId="77777777" w:rsidR="00D4330A" w:rsidRPr="008603BC" w:rsidRDefault="00D4330A" w:rsidP="00613D5D">
            <w:pPr>
              <w:jc w:val="both"/>
              <w:rPr>
                <w:rFonts w:ascii="Arial" w:hAnsi="Arial" w:cs="Arial"/>
                <w:bdr w:val="none" w:sz="0" w:space="0" w:color="auto" w:frame="1"/>
                <w:shd w:val="clear" w:color="auto" w:fill="FAFAFA"/>
              </w:rPr>
            </w:pPr>
            <w:r>
              <w:rPr>
                <w:rFonts w:ascii="Bookman Old Style" w:hAnsi="Bookman Old Style" w:cs="Arial"/>
                <w:color w:val="000000"/>
              </w:rPr>
              <w:t xml:space="preserve">Banks are requested to </w:t>
            </w:r>
            <w:r w:rsidRPr="00C431A5">
              <w:rPr>
                <w:rFonts w:ascii="Bookman Old Style" w:hAnsi="Bookman Old Style" w:cs="Arial"/>
                <w:color w:val="000000"/>
              </w:rPr>
              <w:t xml:space="preserve">increase lending in Agriculture with focus in </w:t>
            </w:r>
            <w:proofErr w:type="spellStart"/>
            <w:r w:rsidRPr="00C431A5">
              <w:rPr>
                <w:rFonts w:ascii="Bookman Old Style" w:hAnsi="Bookman Old Style" w:cs="Arial"/>
                <w:color w:val="000000"/>
              </w:rPr>
              <w:t>agri</w:t>
            </w:r>
            <w:proofErr w:type="spellEnd"/>
            <w:r w:rsidRPr="00C431A5">
              <w:rPr>
                <w:rFonts w:ascii="Bookman Old Style" w:hAnsi="Bookman Old Style" w:cs="Arial"/>
                <w:color w:val="000000"/>
              </w:rPr>
              <w:t>-allied activities like fishery, piggery, dairy and horticulture in coordination with Government line departments</w:t>
            </w:r>
            <w:r>
              <w:rPr>
                <w:rFonts w:ascii="Bookman Old Style" w:hAnsi="Bookman Old Style" w:cs="Arial"/>
                <w:color w:val="000000"/>
              </w:rPr>
              <w:t>.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13CF" w14:textId="77777777" w:rsidR="00D4330A" w:rsidRPr="007E02AD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All banks, Government departments and NABARD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0C392" w14:textId="74C31E32" w:rsidR="00D4330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Banks have assured to coordinate with the Government departments </w:t>
            </w:r>
            <w:r w:rsidR="003E6183">
              <w:rPr>
                <w:rFonts w:ascii="Arial Nova" w:hAnsi="Arial Nova" w:cs="Arial"/>
                <w:kern w:val="3"/>
                <w:sz w:val="24"/>
                <w:szCs w:val="24"/>
              </w:rPr>
              <w:t>and assured to step up loans sanction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in Agri and allied activities.</w:t>
            </w:r>
          </w:p>
          <w:p w14:paraId="180B6393" w14:textId="22D79165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lastRenderedPageBreak/>
              <w:t xml:space="preserve">The banks have sanctioned Rs.324.68 crores in Agri and allied activities </w:t>
            </w:r>
            <w:r w:rsidR="00BC6319">
              <w:rPr>
                <w:rFonts w:ascii="Arial Nova" w:hAnsi="Arial Nova" w:cs="Arial"/>
                <w:kern w:val="3"/>
                <w:sz w:val="24"/>
                <w:szCs w:val="24"/>
              </w:rPr>
              <w:t>in FY 2022-23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against</w:t>
            </w:r>
            <w:r w:rsidR="00BC6319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the achievement </w:t>
            </w:r>
            <w:proofErr w:type="gramStart"/>
            <w:r w:rsidR="00BC6319">
              <w:rPr>
                <w:rFonts w:ascii="Arial Nova" w:hAnsi="Arial Nova" w:cs="Arial"/>
                <w:kern w:val="3"/>
                <w:sz w:val="24"/>
                <w:szCs w:val="24"/>
              </w:rPr>
              <w:t xml:space="preserve">of 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 Rs</w:t>
            </w:r>
            <w:proofErr w:type="gramEnd"/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.234.14 crores in </w:t>
            </w:r>
            <w:r w:rsidR="004F2C35">
              <w:rPr>
                <w:rFonts w:ascii="Arial Nova" w:hAnsi="Arial Nova" w:cs="Arial"/>
                <w:kern w:val="3"/>
                <w:sz w:val="24"/>
                <w:szCs w:val="24"/>
              </w:rPr>
              <w:t>31.03.</w:t>
            </w:r>
            <w:r>
              <w:rPr>
                <w:rFonts w:ascii="Arial Nova" w:hAnsi="Arial Nova" w:cs="Arial"/>
                <w:kern w:val="3"/>
                <w:sz w:val="24"/>
                <w:szCs w:val="24"/>
              </w:rPr>
              <w:t>2022</w:t>
            </w:r>
            <w:r w:rsidR="00754A85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</w:t>
            </w:r>
          </w:p>
        </w:tc>
      </w:tr>
      <w:tr w:rsidR="00D4330A" w:rsidRPr="00F703CA" w14:paraId="614837C3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931B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3FB0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045A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BA21" w14:textId="77777777" w:rsidR="00D4330A" w:rsidRPr="00F703CA" w:rsidRDefault="00D4330A" w:rsidP="00613D5D">
            <w:pPr>
              <w:pStyle w:val="NoSpacing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</w:tr>
      <w:tr w:rsidR="00D4330A" w:rsidRPr="00F703CA" w14:paraId="016DBDCE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2163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F703CA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4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9BDE" w14:textId="77777777" w:rsidR="00D4330A" w:rsidRPr="004B3EE6" w:rsidRDefault="00D4330A" w:rsidP="00613D5D">
            <w:pPr>
              <w:jc w:val="both"/>
              <w:rPr>
                <w:rFonts w:ascii="Arial" w:hAnsi="Arial" w:cs="Arial"/>
                <w:color w:val="000000"/>
              </w:rPr>
            </w:pPr>
            <w:r w:rsidRPr="00C431A5">
              <w:rPr>
                <w:rFonts w:ascii="Bookman Old Style" w:hAnsi="Bookman Old Style"/>
              </w:rPr>
              <w:t>Taking into consideration the low premium and the advantages of Social security schemes</w:t>
            </w:r>
            <w:r>
              <w:rPr>
                <w:rFonts w:ascii="Bookman Old Style" w:hAnsi="Bookman Old Style"/>
              </w:rPr>
              <w:t xml:space="preserve"> the banks are requested </w:t>
            </w:r>
            <w:r w:rsidRPr="00C431A5">
              <w:rPr>
                <w:rFonts w:ascii="Bookman Old Style" w:hAnsi="Bookman Old Style"/>
              </w:rPr>
              <w:t xml:space="preserve">to give wide publicity and encourage the customers for enrolment in Social Security Schemes </w:t>
            </w:r>
            <w:r>
              <w:rPr>
                <w:rFonts w:ascii="Bookman Old Style" w:hAnsi="Bookman Old Style"/>
              </w:rPr>
              <w:t xml:space="preserve">                                          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89BD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All Banks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D554" w14:textId="3724D55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Publicity to enroll PMJJBY, PMSBY and APY is promoted through media, branches and FLCs by banks and CFL</w:t>
            </w:r>
            <w:r w:rsidR="0093407A">
              <w:rPr>
                <w:rFonts w:ascii="Arial Nova" w:hAnsi="Arial Nova" w:cs="Arial"/>
                <w:kern w:val="3"/>
                <w:sz w:val="24"/>
                <w:szCs w:val="24"/>
              </w:rPr>
              <w:t>. In the three months campaign from April 1</w:t>
            </w:r>
            <w:r w:rsidR="0093407A" w:rsidRPr="0093407A">
              <w:rPr>
                <w:rFonts w:ascii="Arial Nova" w:hAnsi="Arial Nova" w:cs="Arial"/>
                <w:kern w:val="3"/>
                <w:sz w:val="24"/>
                <w:szCs w:val="24"/>
                <w:vertAlign w:val="superscript"/>
              </w:rPr>
              <w:t>st</w:t>
            </w:r>
            <w:r w:rsidR="0093407A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to June 30</w:t>
            </w:r>
            <w:r w:rsidR="0093407A" w:rsidRPr="0093407A">
              <w:rPr>
                <w:rFonts w:ascii="Arial Nova" w:hAnsi="Arial Nova" w:cs="Arial"/>
                <w:kern w:val="3"/>
                <w:sz w:val="24"/>
                <w:szCs w:val="24"/>
                <w:vertAlign w:val="superscript"/>
              </w:rPr>
              <w:t>th</w:t>
            </w:r>
            <w:proofErr w:type="gramStart"/>
            <w:r w:rsidR="0093407A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2023</w:t>
            </w:r>
            <w:proofErr w:type="gramEnd"/>
            <w:r w:rsidR="0093407A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branches to actively saturate PMJJBY and PMSBY schemes</w:t>
            </w:r>
          </w:p>
        </w:tc>
      </w:tr>
      <w:tr w:rsidR="00D4330A" w:rsidRPr="00F703CA" w14:paraId="7A08E61A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731DC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B20D" w14:textId="77777777" w:rsidR="00D4330A" w:rsidRPr="00F703CA" w:rsidRDefault="00D4330A" w:rsidP="00613D5D">
            <w:pPr>
              <w:pStyle w:val="NoSpacing"/>
              <w:spacing w:line="240" w:lineRule="auto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4EB3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08C9" w14:textId="77777777" w:rsidR="00D4330A" w:rsidRPr="00F703CA" w:rsidRDefault="00D4330A" w:rsidP="00613D5D">
            <w:pPr>
              <w:pStyle w:val="NoSpacing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</w:tr>
      <w:tr w:rsidR="00D4330A" w:rsidRPr="00F703CA" w14:paraId="73E91C52" w14:textId="77777777" w:rsidTr="00610967">
        <w:trPr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608B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F703CA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5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79F4" w14:textId="77777777" w:rsidR="00D4330A" w:rsidRPr="00C87940" w:rsidRDefault="00D4330A" w:rsidP="00613D5D">
            <w:pPr>
              <w:jc w:val="both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color w:val="000000"/>
              </w:rPr>
              <w:t>The</w:t>
            </w:r>
            <w:r w:rsidRPr="00C87940">
              <w:rPr>
                <w:rFonts w:ascii="Bookman Old Style" w:hAnsi="Bookman Old Style" w:cs="Arial"/>
                <w:color w:val="000000"/>
              </w:rPr>
              <w:t xml:space="preserve"> financial year</w:t>
            </w:r>
            <w:r>
              <w:rPr>
                <w:rFonts w:ascii="Bookman Old Style" w:hAnsi="Bookman Old Style" w:cs="Arial"/>
                <w:color w:val="000000"/>
              </w:rPr>
              <w:t xml:space="preserve"> 2022-23</w:t>
            </w:r>
            <w:r w:rsidRPr="00C87940">
              <w:rPr>
                <w:rFonts w:ascii="Bookman Old Style" w:hAnsi="Bookman Old Style" w:cs="Arial"/>
                <w:color w:val="000000"/>
              </w:rPr>
              <w:t xml:space="preserve"> is going to an end, but still there are lot</w:t>
            </w:r>
            <w:r>
              <w:rPr>
                <w:rFonts w:ascii="Bookman Old Style" w:hAnsi="Bookman Old Style" w:cs="Arial"/>
                <w:color w:val="000000"/>
              </w:rPr>
              <w:t xml:space="preserve">s </w:t>
            </w:r>
            <w:r w:rsidRPr="00C87940">
              <w:rPr>
                <w:rFonts w:ascii="Bookman Old Style" w:hAnsi="Bookman Old Style" w:cs="Arial"/>
                <w:color w:val="000000"/>
              </w:rPr>
              <w:t xml:space="preserve">of gap in </w:t>
            </w:r>
            <w:r>
              <w:rPr>
                <w:rFonts w:ascii="Bookman Old Style" w:hAnsi="Bookman Old Style" w:cs="Arial"/>
                <w:color w:val="000000"/>
              </w:rPr>
              <w:t>ACP Target,</w:t>
            </w:r>
            <w:r w:rsidRPr="00C87940">
              <w:rPr>
                <w:rFonts w:ascii="Bookman Old Style" w:hAnsi="Bookman Old Style" w:cs="Arial"/>
                <w:color w:val="000000"/>
              </w:rPr>
              <w:t xml:space="preserve"> branch expansion</w:t>
            </w:r>
            <w:r>
              <w:rPr>
                <w:rFonts w:ascii="Bookman Old Style" w:hAnsi="Bookman Old Style" w:cs="Arial"/>
                <w:color w:val="000000"/>
              </w:rPr>
              <w:t xml:space="preserve"> and</w:t>
            </w:r>
            <w:r w:rsidRPr="00C87940">
              <w:rPr>
                <w:rFonts w:ascii="Bookman Old Style" w:hAnsi="Bookman Old Style" w:cs="Arial"/>
                <w:color w:val="000000"/>
              </w:rPr>
              <w:t xml:space="preserve"> CD ratio is much below the National average</w:t>
            </w:r>
            <w:r>
              <w:rPr>
                <w:rFonts w:ascii="Bookman Old Style" w:hAnsi="Bookman Old Style" w:cs="Arial"/>
                <w:color w:val="000000"/>
              </w:rPr>
              <w:t xml:space="preserve">. The Banks are requested to consider for sanctioning remaining loan proposals </w:t>
            </w:r>
            <w:r w:rsidRPr="00C87940">
              <w:rPr>
                <w:rFonts w:ascii="Bookman Old Style" w:hAnsi="Bookman Old Style" w:cs="Arial"/>
                <w:color w:val="000000"/>
              </w:rPr>
              <w:t xml:space="preserve">to achieve 100% of the ACP target.                     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6E17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All Banks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74A49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The banks have sanctioned and disbursed Rs.1758.44 crores of loans and advances in 2022-23 constituting 94.44% of the ACP Target. The CD ratio has marginally increased from 41.92 % on 31.03.2022 to 45.82% on 31.03.2023</w:t>
            </w:r>
          </w:p>
        </w:tc>
        <w:tc>
          <w:tcPr>
            <w:tcW w:w="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9BBDE" w14:textId="77777777" w:rsidR="00D4330A" w:rsidRPr="00F703CA" w:rsidRDefault="00D4330A" w:rsidP="00613D5D">
            <w:pPr>
              <w:spacing w:after="160" w:line="259" w:lineRule="auto"/>
            </w:pPr>
          </w:p>
        </w:tc>
      </w:tr>
      <w:tr w:rsidR="00D4330A" w:rsidRPr="00F703CA" w14:paraId="3912FD34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6C7A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535F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2F31" w14:textId="77777777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2FCF" w14:textId="77777777" w:rsidR="00D4330A" w:rsidRPr="00F703CA" w:rsidRDefault="00D4330A" w:rsidP="00613D5D">
            <w:pPr>
              <w:pStyle w:val="NoSpacing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</w:tr>
      <w:tr w:rsidR="00D4330A" w:rsidRPr="00F703CA" w14:paraId="4DF65152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8809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F703CA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6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9A70" w14:textId="77777777" w:rsidR="00D4330A" w:rsidRPr="00680692" w:rsidRDefault="00D4330A" w:rsidP="00613D5D">
            <w:pPr>
              <w:pStyle w:val="NoSpacing"/>
              <w:spacing w:line="240" w:lineRule="auto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 w:rsidRPr="00680692">
              <w:rPr>
                <w:rFonts w:ascii="Bookman Old Style" w:hAnsi="Bookman Old Style" w:cs="Arial"/>
                <w:color w:val="000000"/>
              </w:rPr>
              <w:t>The Chief Secretary requested SLBC to provide the year-on-year growth/ decline in digital transactions</w:t>
            </w:r>
            <w:r w:rsidRPr="00680692">
              <w:rPr>
                <w:rFonts w:ascii="Bookman Old Style" w:hAnsi="Bookman Old Style" w:cs="Arial"/>
                <w:b/>
                <w:bCs/>
                <w:color w:val="000000"/>
              </w:rPr>
              <w:t xml:space="preserve">.   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C7403" w14:textId="77777777" w:rsidR="00D4330A" w:rsidRPr="00680692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 w:rsidRPr="00680692">
              <w:rPr>
                <w:rFonts w:ascii="Arial Nova" w:hAnsi="Arial Nova" w:cs="Arial"/>
                <w:kern w:val="3"/>
                <w:sz w:val="24"/>
                <w:szCs w:val="24"/>
              </w:rPr>
              <w:t>SLBC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48D7" w14:textId="1B552531" w:rsidR="00D4330A" w:rsidRPr="00F703CA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 xml:space="preserve">The Digital transaction reports for March ending 2021, 2022 and 2023 is </w:t>
            </w:r>
            <w:r w:rsidR="00470E5D">
              <w:rPr>
                <w:rFonts w:ascii="Arial Nova" w:hAnsi="Arial Nova" w:cs="Arial"/>
                <w:kern w:val="3"/>
                <w:sz w:val="24"/>
                <w:szCs w:val="24"/>
              </w:rPr>
              <w:t xml:space="preserve">submitted to the Finance department, </w:t>
            </w:r>
            <w:proofErr w:type="spellStart"/>
            <w:r w:rsidR="00470E5D">
              <w:rPr>
                <w:rFonts w:ascii="Arial Nova" w:hAnsi="Arial Nova" w:cs="Arial"/>
                <w:kern w:val="3"/>
                <w:sz w:val="24"/>
                <w:szCs w:val="24"/>
              </w:rPr>
              <w:t>GoM</w:t>
            </w:r>
            <w:proofErr w:type="spellEnd"/>
          </w:p>
        </w:tc>
      </w:tr>
      <w:tr w:rsidR="00D4330A" w:rsidRPr="00F703CA" w14:paraId="5C4146BE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A23C" w14:textId="77777777" w:rsidR="00D4330A" w:rsidRPr="00F703CA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C3C5" w14:textId="77777777" w:rsidR="00D4330A" w:rsidRPr="00680692" w:rsidRDefault="00D4330A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2CAA" w14:textId="77777777" w:rsidR="00D4330A" w:rsidRPr="00680692" w:rsidRDefault="00D4330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5644" w14:textId="77777777" w:rsidR="00D4330A" w:rsidRPr="00F703CA" w:rsidRDefault="00D4330A" w:rsidP="00613D5D">
            <w:pPr>
              <w:pStyle w:val="NoSpacing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</w:tr>
      <w:tr w:rsidR="00E70E54" w:rsidRPr="00F703CA" w14:paraId="3832C8A7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0C34" w14:textId="13A1FE59" w:rsidR="00E70E54" w:rsidRPr="00F703CA" w:rsidRDefault="00B91C30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7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FB56" w14:textId="73F53D0C" w:rsidR="00E70E54" w:rsidRPr="0093407A" w:rsidRDefault="00E70E54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kern w:val="3"/>
                <w:sz w:val="24"/>
                <w:szCs w:val="24"/>
              </w:rPr>
            </w:pPr>
            <w:r w:rsidRPr="0093407A">
              <w:rPr>
                <w:rFonts w:ascii="Arial" w:hAnsi="Arial" w:cs="Arial"/>
                <w:sz w:val="24"/>
                <w:szCs w:val="24"/>
              </w:rPr>
              <w:t>Timely submission of data and compliance to the action points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E0EB" w14:textId="6B4AFD8D" w:rsidR="00E70E54" w:rsidRPr="00F703CA" w:rsidRDefault="0093407A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>
              <w:rPr>
                <w:rFonts w:ascii="Arial Nova" w:hAnsi="Arial Nova" w:cs="Arial"/>
                <w:kern w:val="3"/>
                <w:sz w:val="24"/>
                <w:szCs w:val="24"/>
              </w:rPr>
              <w:t>All banks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6691" w14:textId="428B466E" w:rsidR="00E70E54" w:rsidRPr="0038573A" w:rsidRDefault="0038573A" w:rsidP="0038573A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 w:rsidRPr="0038573A">
              <w:rPr>
                <w:rFonts w:ascii="Arial Nova" w:hAnsi="Arial Nova" w:cs="Arial"/>
                <w:kern w:val="3"/>
                <w:sz w:val="24"/>
                <w:szCs w:val="24"/>
              </w:rPr>
              <w:t>Banks assured to submit</w:t>
            </w:r>
            <w:r w:rsidR="00B30D2F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and</w:t>
            </w:r>
            <w:r w:rsidRPr="0038573A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upload banks data within timeline.</w:t>
            </w:r>
          </w:p>
        </w:tc>
      </w:tr>
      <w:tr w:rsidR="008E69C5" w:rsidRPr="00F703CA" w14:paraId="32AFF042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C010" w14:textId="77777777" w:rsidR="008E69C5" w:rsidRDefault="008E69C5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04F8" w14:textId="77777777" w:rsidR="008E69C5" w:rsidRPr="0093407A" w:rsidRDefault="008E69C5" w:rsidP="00613D5D">
            <w:pPr>
              <w:pStyle w:val="NoSpacing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9228" w14:textId="77777777" w:rsidR="008E69C5" w:rsidRDefault="008E69C5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F03B" w14:textId="77777777" w:rsidR="008E69C5" w:rsidRPr="0038573A" w:rsidRDefault="008E69C5" w:rsidP="0038573A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</w:p>
        </w:tc>
      </w:tr>
      <w:tr w:rsidR="008E69C5" w:rsidRPr="00F703CA" w14:paraId="17FAA2F1" w14:textId="77777777" w:rsidTr="00610967">
        <w:trPr>
          <w:gridAfter w:val="1"/>
          <w:wAfter w:w="40" w:type="dxa"/>
          <w:trHeight w:val="26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3ADB" w14:textId="77777777" w:rsidR="008E69C5" w:rsidRPr="00AA1749" w:rsidRDefault="008E69C5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</w:p>
          <w:p w14:paraId="67173018" w14:textId="33779A8F" w:rsidR="008E69C5" w:rsidRPr="00AA1749" w:rsidRDefault="008E69C5" w:rsidP="00613D5D">
            <w:pPr>
              <w:pStyle w:val="NoSpacing"/>
              <w:spacing w:line="240" w:lineRule="auto"/>
              <w:jc w:val="center"/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</w:pPr>
            <w:r w:rsidRPr="00AA1749">
              <w:rPr>
                <w:rFonts w:ascii="Arial Nova" w:hAnsi="Arial Nova" w:cs="Arial"/>
                <w:b/>
                <w:bCs/>
                <w:kern w:val="3"/>
                <w:sz w:val="24"/>
                <w:szCs w:val="24"/>
              </w:rPr>
              <w:t>8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06F8" w14:textId="4C62689A" w:rsidR="008E69C5" w:rsidRPr="00AA1749" w:rsidRDefault="008E69C5" w:rsidP="008E69C5">
            <w:pPr>
              <w:pStyle w:val="NoSpacing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749">
              <w:rPr>
                <w:rFonts w:ascii="Arial" w:hAnsi="Arial" w:cs="Arial"/>
                <w:sz w:val="24"/>
                <w:szCs w:val="24"/>
              </w:rPr>
              <w:t>Dr. P. Dutta Sahoo, GM NABARD requested SLBC to conduct review meetings on the District performance in terms of regular conduct of DCC/ DLRC meetings, Action taken in DCC/ DLRC meetings to improve District CD ratio and FLC camp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5AC5" w14:textId="7AD818E0" w:rsidR="008E69C5" w:rsidRPr="00AA1749" w:rsidRDefault="008E69C5" w:rsidP="00613D5D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 w:rsidRPr="00AA1749">
              <w:rPr>
                <w:rFonts w:ascii="Arial Nova" w:hAnsi="Arial Nova" w:cs="Arial"/>
                <w:kern w:val="3"/>
                <w:sz w:val="24"/>
                <w:szCs w:val="24"/>
              </w:rPr>
              <w:t>SLBC and Lead District Managers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0904" w14:textId="3679DA98" w:rsidR="008E69C5" w:rsidRPr="00AA1749" w:rsidRDefault="008E69C5" w:rsidP="0038573A">
            <w:pPr>
              <w:pStyle w:val="NoSpacing"/>
              <w:jc w:val="both"/>
              <w:rPr>
                <w:rFonts w:ascii="Arial Nova" w:hAnsi="Arial Nova" w:cs="Arial"/>
                <w:kern w:val="3"/>
                <w:sz w:val="24"/>
                <w:szCs w:val="24"/>
              </w:rPr>
            </w:pPr>
            <w:r w:rsidRPr="00AA1749">
              <w:rPr>
                <w:rFonts w:ascii="Arial Nova" w:hAnsi="Arial Nova" w:cs="Arial"/>
                <w:kern w:val="3"/>
                <w:sz w:val="24"/>
                <w:szCs w:val="24"/>
              </w:rPr>
              <w:t xml:space="preserve">In the Subcommittee meeting held on 22.05.2023, the LDM assured to conduct DCC/ DLRC meetings regularly. Agenda will be included to step up </w:t>
            </w:r>
            <w:proofErr w:type="gramStart"/>
            <w:r w:rsidRPr="00AA1749">
              <w:rPr>
                <w:rFonts w:ascii="Arial Nova" w:hAnsi="Arial Nova" w:cs="Arial"/>
                <w:kern w:val="3"/>
                <w:sz w:val="24"/>
                <w:szCs w:val="24"/>
              </w:rPr>
              <w:t>loans</w:t>
            </w:r>
            <w:proofErr w:type="gramEnd"/>
            <w:r w:rsidRPr="00AA1749">
              <w:rPr>
                <w:rFonts w:ascii="Arial Nova" w:hAnsi="Arial Nova" w:cs="Arial"/>
                <w:kern w:val="3"/>
                <w:sz w:val="24"/>
                <w:szCs w:val="24"/>
              </w:rPr>
              <w:t xml:space="preserve"> mobilization with coordination of departments.</w:t>
            </w:r>
          </w:p>
        </w:tc>
      </w:tr>
    </w:tbl>
    <w:p w14:paraId="686E86CF" w14:textId="3129F2D6" w:rsidR="002B2AAA" w:rsidRDefault="002B2AAA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148F4710" w14:textId="5545BFDB" w:rsidR="005C7FDF" w:rsidRDefault="005C7FDF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252D673E" w14:textId="77777777" w:rsidR="00606DE2" w:rsidRDefault="00606DE2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14C105C4" w14:textId="77777777" w:rsidR="0065366B" w:rsidRDefault="00D62753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Agenda – 2: </w:t>
      </w:r>
    </w:p>
    <w:p w14:paraId="4C06E5C7" w14:textId="77777777" w:rsidR="0065366B" w:rsidRDefault="0065366B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3FA9D843" w14:textId="77777777" w:rsidR="00D62753" w:rsidRPr="0065366B" w:rsidRDefault="00D62753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lastRenderedPageBreak/>
        <w:t>Review of Financial Inclusion Initiatives, Expansion of banking Network and Financial Literacy</w:t>
      </w:r>
    </w:p>
    <w:p w14:paraId="71DA5B6D" w14:textId="77777777" w:rsidR="00EB1D00" w:rsidRPr="0065366B" w:rsidRDefault="00EB1D00" w:rsidP="00232497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60F263AD" w14:textId="77777777" w:rsidR="0059141A" w:rsidRPr="0065366B" w:rsidRDefault="0065366B" w:rsidP="0065366B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(a) </w:t>
      </w:r>
      <w:r w:rsidR="0059141A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Status of opening of banking outlets in unbanked villages, CBS-enabled banking outlets at the unbanked rural </w:t>
      </w:r>
      <w:r w:rsidR="00F16099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centers</w:t>
      </w:r>
      <w:r w:rsidR="0059141A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(URCs)</w:t>
      </w:r>
    </w:p>
    <w:p w14:paraId="4DE6C015" w14:textId="77777777" w:rsidR="00CD05A2" w:rsidRPr="0065366B" w:rsidRDefault="00CD05A2" w:rsidP="00770D2E">
      <w:pPr>
        <w:pStyle w:val="NoSpacing"/>
        <w:ind w:left="720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4D660D74" w14:textId="6FB08CBC" w:rsidR="00613D5D" w:rsidRDefault="00613D5D" w:rsidP="00613D5D">
      <w:r w:rsidRPr="00613D5D">
        <w:t xml:space="preserve">During </w:t>
      </w:r>
      <w:r w:rsidR="00D629A6">
        <w:t xml:space="preserve">the Financial year </w:t>
      </w:r>
      <w:r w:rsidRPr="00613D5D">
        <w:t>2022-23</w:t>
      </w:r>
      <w:r w:rsidR="00D629A6">
        <w:t xml:space="preserve">, Nine </w:t>
      </w:r>
      <w:r w:rsidR="00D629A6" w:rsidRPr="00613D5D">
        <w:t>new</w:t>
      </w:r>
      <w:r w:rsidRPr="00613D5D">
        <w:t xml:space="preserve"> branches were opened by Punjab National Bank, HDFC Bank Ltd and NESFB</w:t>
      </w:r>
      <w:r w:rsidR="00D629A6">
        <w:t xml:space="preserve"> </w:t>
      </w:r>
      <w:r w:rsidRPr="00613D5D">
        <w:t>respectively.</w:t>
      </w:r>
      <w:r w:rsidR="00F16C87">
        <w:t xml:space="preserve"> Branch opening details is </w:t>
      </w:r>
    </w:p>
    <w:p w14:paraId="77060CF6" w14:textId="3C38A02A" w:rsidR="00613D5D" w:rsidRDefault="00613D5D" w:rsidP="006B3604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050"/>
        <w:gridCol w:w="4071"/>
      </w:tblGrid>
      <w:tr w:rsidR="00613D5D" w14:paraId="5C24013E" w14:textId="77777777" w:rsidTr="00D629A6">
        <w:tc>
          <w:tcPr>
            <w:tcW w:w="2335" w:type="dxa"/>
          </w:tcPr>
          <w:p w14:paraId="19A15196" w14:textId="074E1AE4" w:rsidR="00613D5D" w:rsidRPr="00613D5D" w:rsidRDefault="00266741" w:rsidP="006B3604">
            <w:pPr>
              <w:pStyle w:val="NoSpacing"/>
              <w:jc w:val="both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Name of Bank</w:t>
            </w:r>
          </w:p>
        </w:tc>
        <w:tc>
          <w:tcPr>
            <w:tcW w:w="4050" w:type="dxa"/>
          </w:tcPr>
          <w:p w14:paraId="5CC3AD06" w14:textId="395452C5" w:rsidR="00613D5D" w:rsidRPr="00613D5D" w:rsidRDefault="00613D5D" w:rsidP="006B3604">
            <w:pPr>
              <w:pStyle w:val="NoSpacing"/>
              <w:jc w:val="both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13D5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District</w:t>
            </w:r>
          </w:p>
        </w:tc>
        <w:tc>
          <w:tcPr>
            <w:tcW w:w="4071" w:type="dxa"/>
          </w:tcPr>
          <w:p w14:paraId="59D1AE99" w14:textId="355F5E5F" w:rsidR="00613D5D" w:rsidRPr="00613D5D" w:rsidRDefault="00613D5D" w:rsidP="006B3604">
            <w:pPr>
              <w:pStyle w:val="NoSpacing"/>
              <w:jc w:val="both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13D5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Location of branches opened</w:t>
            </w:r>
          </w:p>
        </w:tc>
      </w:tr>
      <w:tr w:rsidR="00613D5D" w14:paraId="2A378FB1" w14:textId="77777777" w:rsidTr="00D629A6">
        <w:tc>
          <w:tcPr>
            <w:tcW w:w="2335" w:type="dxa"/>
          </w:tcPr>
          <w:p w14:paraId="6C50834F" w14:textId="5B6E9F4B" w:rsidR="00613D5D" w:rsidRDefault="00266741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NESFB</w:t>
            </w:r>
          </w:p>
        </w:tc>
        <w:tc>
          <w:tcPr>
            <w:tcW w:w="4050" w:type="dxa"/>
          </w:tcPr>
          <w:p w14:paraId="67CA5B18" w14:textId="533E95CE" w:rsidR="00613D5D" w:rsidRDefault="00266741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West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Jaintia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Hills</w:t>
            </w:r>
          </w:p>
        </w:tc>
        <w:tc>
          <w:tcPr>
            <w:tcW w:w="4071" w:type="dxa"/>
          </w:tcPr>
          <w:p w14:paraId="5915890D" w14:textId="7C2C6D00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Amlarem</w:t>
            </w:r>
            <w:proofErr w:type="spellEnd"/>
          </w:p>
        </w:tc>
      </w:tr>
      <w:tr w:rsidR="00613D5D" w14:paraId="478E0D09" w14:textId="77777777" w:rsidTr="00D629A6">
        <w:tc>
          <w:tcPr>
            <w:tcW w:w="2335" w:type="dxa"/>
          </w:tcPr>
          <w:p w14:paraId="30903638" w14:textId="10FC3BCA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bookmarkStart w:id="1" w:name="_Hlk134550308"/>
            <w:r>
              <w:rPr>
                <w:rFonts w:ascii="Bookman Old Style" w:hAnsi="Bookman Old Style" w:cs="Arial"/>
                <w:sz w:val="24"/>
                <w:szCs w:val="24"/>
              </w:rPr>
              <w:t>NESFB</w:t>
            </w:r>
          </w:p>
        </w:tc>
        <w:tc>
          <w:tcPr>
            <w:tcW w:w="4050" w:type="dxa"/>
          </w:tcPr>
          <w:p w14:paraId="277CCFAC" w14:textId="2F6AB68E" w:rsidR="00613D5D" w:rsidRDefault="00266741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SW Khasi Hills</w:t>
            </w:r>
          </w:p>
        </w:tc>
        <w:tc>
          <w:tcPr>
            <w:tcW w:w="4071" w:type="dxa"/>
          </w:tcPr>
          <w:p w14:paraId="7A37BE57" w14:textId="525A9324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Mawkyrwat</w:t>
            </w:r>
            <w:proofErr w:type="spellEnd"/>
          </w:p>
        </w:tc>
      </w:tr>
      <w:bookmarkEnd w:id="1"/>
      <w:tr w:rsidR="00613D5D" w14:paraId="0E64FF73" w14:textId="77777777" w:rsidTr="00D629A6">
        <w:tc>
          <w:tcPr>
            <w:tcW w:w="2335" w:type="dxa"/>
          </w:tcPr>
          <w:p w14:paraId="2F96EECF" w14:textId="378E7E56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NESFB</w:t>
            </w:r>
          </w:p>
        </w:tc>
        <w:tc>
          <w:tcPr>
            <w:tcW w:w="4050" w:type="dxa"/>
          </w:tcPr>
          <w:p w14:paraId="4C543B30" w14:textId="3B1D7CE5" w:rsidR="00613D5D" w:rsidRDefault="00266741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West Khasi Hills</w:t>
            </w:r>
          </w:p>
        </w:tc>
        <w:tc>
          <w:tcPr>
            <w:tcW w:w="4071" w:type="dxa"/>
          </w:tcPr>
          <w:p w14:paraId="566F7EEC" w14:textId="7B2C79FF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Nongstoin</w:t>
            </w:r>
            <w:proofErr w:type="spellEnd"/>
          </w:p>
        </w:tc>
      </w:tr>
      <w:tr w:rsidR="00613D5D" w14:paraId="6C6280EF" w14:textId="77777777" w:rsidTr="00D629A6">
        <w:tc>
          <w:tcPr>
            <w:tcW w:w="2335" w:type="dxa"/>
          </w:tcPr>
          <w:p w14:paraId="53A89ED7" w14:textId="70918DCB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NESFB</w:t>
            </w:r>
          </w:p>
        </w:tc>
        <w:tc>
          <w:tcPr>
            <w:tcW w:w="4050" w:type="dxa"/>
          </w:tcPr>
          <w:p w14:paraId="06E28390" w14:textId="2F095399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East Garo Hills</w:t>
            </w:r>
          </w:p>
        </w:tc>
        <w:tc>
          <w:tcPr>
            <w:tcW w:w="4071" w:type="dxa"/>
          </w:tcPr>
          <w:p w14:paraId="3ADDDC8B" w14:textId="11C4D137" w:rsidR="00613D5D" w:rsidRDefault="00C575DC" w:rsidP="006B3604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Williamnagar</w:t>
            </w:r>
            <w:proofErr w:type="spellEnd"/>
          </w:p>
        </w:tc>
      </w:tr>
      <w:tr w:rsidR="00D629A6" w14:paraId="54C531BE" w14:textId="77777777" w:rsidTr="00D629A6">
        <w:tc>
          <w:tcPr>
            <w:tcW w:w="2335" w:type="dxa"/>
          </w:tcPr>
          <w:p w14:paraId="6AD7B907" w14:textId="42C87F03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PNB</w:t>
            </w:r>
          </w:p>
        </w:tc>
        <w:tc>
          <w:tcPr>
            <w:tcW w:w="4050" w:type="dxa"/>
          </w:tcPr>
          <w:p w14:paraId="70E23202" w14:textId="1A093257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SW Khasi Hills</w:t>
            </w:r>
          </w:p>
        </w:tc>
        <w:tc>
          <w:tcPr>
            <w:tcW w:w="4071" w:type="dxa"/>
          </w:tcPr>
          <w:p w14:paraId="30A5694B" w14:textId="6DDCE668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Mawkyrwat</w:t>
            </w:r>
            <w:proofErr w:type="spellEnd"/>
          </w:p>
        </w:tc>
      </w:tr>
      <w:tr w:rsidR="00D629A6" w14:paraId="402EDD7F" w14:textId="77777777" w:rsidTr="00D629A6">
        <w:tc>
          <w:tcPr>
            <w:tcW w:w="2335" w:type="dxa"/>
          </w:tcPr>
          <w:p w14:paraId="358A3CA3" w14:textId="64A9350E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PNB</w:t>
            </w:r>
          </w:p>
        </w:tc>
        <w:tc>
          <w:tcPr>
            <w:tcW w:w="4050" w:type="dxa"/>
          </w:tcPr>
          <w:p w14:paraId="13451AD9" w14:textId="425D67FF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East Khasi Hills</w:t>
            </w:r>
          </w:p>
        </w:tc>
        <w:tc>
          <w:tcPr>
            <w:tcW w:w="4071" w:type="dxa"/>
          </w:tcPr>
          <w:p w14:paraId="5D23C44E" w14:textId="60A24690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Upper Shillong</w:t>
            </w:r>
          </w:p>
        </w:tc>
      </w:tr>
      <w:tr w:rsidR="00D629A6" w14:paraId="567DDA44" w14:textId="77777777" w:rsidTr="00D629A6">
        <w:tc>
          <w:tcPr>
            <w:tcW w:w="2335" w:type="dxa"/>
          </w:tcPr>
          <w:p w14:paraId="6CDDD2B2" w14:textId="42151726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HDFC</w:t>
            </w:r>
          </w:p>
        </w:tc>
        <w:tc>
          <w:tcPr>
            <w:tcW w:w="4050" w:type="dxa"/>
          </w:tcPr>
          <w:p w14:paraId="14E8F1ED" w14:textId="7D354D54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North Garo Hills</w:t>
            </w:r>
          </w:p>
        </w:tc>
        <w:tc>
          <w:tcPr>
            <w:tcW w:w="4071" w:type="dxa"/>
          </w:tcPr>
          <w:p w14:paraId="4795BCEE" w14:textId="4E1BD207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Mendipathar</w:t>
            </w:r>
            <w:proofErr w:type="spellEnd"/>
          </w:p>
        </w:tc>
      </w:tr>
      <w:tr w:rsidR="00D629A6" w14:paraId="24D2895F" w14:textId="77777777" w:rsidTr="00D629A6">
        <w:tc>
          <w:tcPr>
            <w:tcW w:w="2335" w:type="dxa"/>
          </w:tcPr>
          <w:p w14:paraId="6765EE35" w14:textId="58F82CD3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HDFC</w:t>
            </w:r>
          </w:p>
        </w:tc>
        <w:tc>
          <w:tcPr>
            <w:tcW w:w="4050" w:type="dxa"/>
          </w:tcPr>
          <w:p w14:paraId="4C7057F2" w14:textId="65E7C455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West Garo Hills</w:t>
            </w:r>
          </w:p>
        </w:tc>
        <w:tc>
          <w:tcPr>
            <w:tcW w:w="4071" w:type="dxa"/>
          </w:tcPr>
          <w:p w14:paraId="0CEABFF3" w14:textId="560855E5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Phulbari</w:t>
            </w:r>
            <w:proofErr w:type="spellEnd"/>
          </w:p>
        </w:tc>
      </w:tr>
      <w:tr w:rsidR="00D629A6" w14:paraId="3E67B5B3" w14:textId="77777777" w:rsidTr="00D629A6">
        <w:tc>
          <w:tcPr>
            <w:tcW w:w="2335" w:type="dxa"/>
          </w:tcPr>
          <w:p w14:paraId="0B8C6EC0" w14:textId="43DC90BD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HDFC</w:t>
            </w:r>
          </w:p>
        </w:tc>
        <w:tc>
          <w:tcPr>
            <w:tcW w:w="4050" w:type="dxa"/>
          </w:tcPr>
          <w:p w14:paraId="25817B5E" w14:textId="31F878B7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South Garo Hills</w:t>
            </w:r>
          </w:p>
        </w:tc>
        <w:tc>
          <w:tcPr>
            <w:tcW w:w="4071" w:type="dxa"/>
          </w:tcPr>
          <w:p w14:paraId="736680CA" w14:textId="131F3873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Baghmara</w:t>
            </w:r>
            <w:proofErr w:type="spellEnd"/>
          </w:p>
        </w:tc>
      </w:tr>
      <w:tr w:rsidR="00D629A6" w14:paraId="4635ADD2" w14:textId="77777777" w:rsidTr="00D629A6">
        <w:tc>
          <w:tcPr>
            <w:tcW w:w="2335" w:type="dxa"/>
          </w:tcPr>
          <w:p w14:paraId="3B931DBD" w14:textId="77777777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5E8AC49" w14:textId="77777777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4071" w:type="dxa"/>
          </w:tcPr>
          <w:p w14:paraId="1A263115" w14:textId="77777777" w:rsidR="00D629A6" w:rsidRDefault="00D629A6" w:rsidP="00D629A6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6B919F40" w14:textId="77777777" w:rsidR="00A34653" w:rsidRDefault="00A34653" w:rsidP="00613D5D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4652A59F" w14:textId="543927D5" w:rsidR="007D17C1" w:rsidRPr="00613D5D" w:rsidRDefault="0044514F" w:rsidP="007D17C1">
      <w:r>
        <w:t>As on 31.03.2023 there are 434 bank branches in the State, o</w:t>
      </w:r>
      <w:r w:rsidR="007D17C1">
        <w:t xml:space="preserve">ut of </w:t>
      </w:r>
      <w:r>
        <w:t>which</w:t>
      </w:r>
      <w:r w:rsidR="007D17C1">
        <w:t xml:space="preserve"> 196 are located in rural areas, 119 in Semi-urban and 119 </w:t>
      </w:r>
      <w:proofErr w:type="gramStart"/>
      <w:r w:rsidR="007D17C1">
        <w:t>in  Urban</w:t>
      </w:r>
      <w:proofErr w:type="gramEnd"/>
      <w:r w:rsidR="007D17C1">
        <w:t xml:space="preserve"> area of the State.</w:t>
      </w:r>
    </w:p>
    <w:p w14:paraId="645C328F" w14:textId="77777777" w:rsidR="00A34653" w:rsidRDefault="00A34653" w:rsidP="00613D5D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3C7855E3" w14:textId="2739AF7E" w:rsidR="00A34653" w:rsidRDefault="00985E9A" w:rsidP="00613D5D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  <w:r w:rsidRPr="0065366B">
        <w:rPr>
          <w:rFonts w:ascii="Bookman Old Style" w:hAnsi="Bookman Old Style" w:cs="Arial"/>
          <w:sz w:val="24"/>
          <w:szCs w:val="24"/>
        </w:rPr>
        <w:t>Six branch opening are pending because of non-availability of suitable premises</w:t>
      </w:r>
      <w:r>
        <w:rPr>
          <w:rFonts w:ascii="Bookman Old Style" w:hAnsi="Bookman Old Style" w:cs="Arial"/>
          <w:sz w:val="24"/>
          <w:szCs w:val="24"/>
        </w:rPr>
        <w:t xml:space="preserve"> and the allotted banks </w:t>
      </w:r>
      <w:r w:rsidR="00B07129">
        <w:rPr>
          <w:rFonts w:ascii="Bookman Old Style" w:hAnsi="Bookman Old Style" w:cs="Arial"/>
          <w:sz w:val="24"/>
          <w:szCs w:val="24"/>
        </w:rPr>
        <w:t xml:space="preserve">have been </w:t>
      </w:r>
      <w:r>
        <w:rPr>
          <w:rFonts w:ascii="Bookman Old Style" w:hAnsi="Bookman Old Style" w:cs="Arial"/>
          <w:sz w:val="24"/>
          <w:szCs w:val="24"/>
        </w:rPr>
        <w:t xml:space="preserve">requested to follow up with the District administration </w:t>
      </w:r>
      <w:r w:rsidR="00943585">
        <w:rPr>
          <w:rFonts w:ascii="Bookman Old Style" w:hAnsi="Bookman Old Style" w:cs="Arial"/>
          <w:sz w:val="24"/>
          <w:szCs w:val="24"/>
        </w:rPr>
        <w:t xml:space="preserve">to </w:t>
      </w:r>
      <w:proofErr w:type="gramStart"/>
      <w:r w:rsidR="00943585">
        <w:rPr>
          <w:rFonts w:ascii="Bookman Old Style" w:hAnsi="Bookman Old Style" w:cs="Arial"/>
          <w:sz w:val="24"/>
          <w:szCs w:val="24"/>
        </w:rPr>
        <w:t>get  new</w:t>
      </w:r>
      <w:proofErr w:type="gramEnd"/>
      <w:r w:rsidR="00943585">
        <w:rPr>
          <w:rFonts w:ascii="Bookman Old Style" w:hAnsi="Bookman Old Style" w:cs="Arial"/>
          <w:sz w:val="24"/>
          <w:szCs w:val="24"/>
        </w:rPr>
        <w:t xml:space="preserve"> branch</w:t>
      </w:r>
      <w:r>
        <w:rPr>
          <w:rFonts w:ascii="Bookman Old Style" w:hAnsi="Bookman Old Style" w:cs="Arial"/>
          <w:sz w:val="24"/>
          <w:szCs w:val="24"/>
        </w:rPr>
        <w:t xml:space="preserve"> premises. Two ATMs and </w:t>
      </w:r>
      <w:r w:rsidR="001B7915">
        <w:rPr>
          <w:rFonts w:ascii="Bookman Old Style" w:hAnsi="Bookman Old Style" w:cs="Arial"/>
          <w:sz w:val="24"/>
          <w:szCs w:val="24"/>
        </w:rPr>
        <w:t xml:space="preserve">one </w:t>
      </w:r>
      <w:r>
        <w:rPr>
          <w:rFonts w:ascii="Bookman Old Style" w:hAnsi="Bookman Old Style" w:cs="Arial"/>
          <w:sz w:val="24"/>
          <w:szCs w:val="24"/>
        </w:rPr>
        <w:t>CSP were deployed</w:t>
      </w:r>
      <w:r w:rsidR="001B7915">
        <w:rPr>
          <w:rFonts w:ascii="Bookman Old Style" w:hAnsi="Bookman Old Style" w:cs="Arial"/>
          <w:sz w:val="24"/>
          <w:szCs w:val="24"/>
        </w:rPr>
        <w:t xml:space="preserve"> by SBI</w:t>
      </w:r>
      <w:r>
        <w:rPr>
          <w:rFonts w:ascii="Bookman Old Style" w:hAnsi="Bookman Old Style" w:cs="Arial"/>
          <w:sz w:val="24"/>
          <w:szCs w:val="24"/>
        </w:rPr>
        <w:t xml:space="preserve"> in </w:t>
      </w:r>
      <w:proofErr w:type="spellStart"/>
      <w:r>
        <w:rPr>
          <w:rFonts w:ascii="Bookman Old Style" w:hAnsi="Bookman Old Style" w:cs="Arial"/>
          <w:sz w:val="24"/>
          <w:szCs w:val="24"/>
        </w:rPr>
        <w:t>Hawakhana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Tura in place of branch opening. Similarly, eight and one CSPs were deployed by Meghalaya Rural bank in </w:t>
      </w:r>
      <w:proofErr w:type="spellStart"/>
      <w:r>
        <w:rPr>
          <w:rFonts w:ascii="Bookman Old Style" w:hAnsi="Bookman Old Style" w:cs="Arial"/>
          <w:sz w:val="24"/>
          <w:szCs w:val="24"/>
        </w:rPr>
        <w:t>Rongara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Block and </w:t>
      </w:r>
      <w:proofErr w:type="spellStart"/>
      <w:r>
        <w:rPr>
          <w:rFonts w:ascii="Bookman Old Style" w:hAnsi="Bookman Old Style" w:cs="Arial"/>
          <w:sz w:val="24"/>
          <w:szCs w:val="24"/>
        </w:rPr>
        <w:t>Thangsning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village in </w:t>
      </w:r>
      <w:r w:rsidRPr="0065366B">
        <w:rPr>
          <w:rFonts w:ascii="Bookman Old Style" w:hAnsi="Bookman Old Style" w:cs="Arial"/>
          <w:sz w:val="24"/>
          <w:szCs w:val="24"/>
        </w:rPr>
        <w:t>lieu of branch opening</w:t>
      </w:r>
    </w:p>
    <w:p w14:paraId="2A3B1CEF" w14:textId="77777777" w:rsidR="00A34653" w:rsidRDefault="00A34653" w:rsidP="00613D5D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1EB78059" w14:textId="155B4C58" w:rsidR="00EF216D" w:rsidRPr="0065366B" w:rsidRDefault="0012748B" w:rsidP="0012748B">
      <w:pPr>
        <w:jc w:val="both"/>
        <w:rPr>
          <w:rFonts w:ascii="Bookman Old Style" w:hAnsi="Bookman Old Style" w:cs="Arial"/>
          <w:kern w:val="3"/>
        </w:rPr>
      </w:pPr>
      <w:r w:rsidRPr="0065366B">
        <w:rPr>
          <w:rFonts w:ascii="Bookman Old Style" w:eastAsia="Gungsuh" w:hAnsi="Bookman Old Style" w:cs="Arial"/>
          <w:b/>
          <w:bCs/>
          <w:u w:val="single"/>
        </w:rPr>
        <w:t xml:space="preserve">(b) </w:t>
      </w:r>
      <w:r w:rsidR="000D631B" w:rsidRPr="0065366B">
        <w:rPr>
          <w:rFonts w:ascii="Bookman Old Style" w:eastAsia="Gungsuh" w:hAnsi="Bookman Old Style" w:cs="Arial"/>
          <w:b/>
          <w:bCs/>
          <w:u w:val="single"/>
        </w:rPr>
        <w:t xml:space="preserve">Review of Operations of Business Correspondents – hurdles/issues involved </w:t>
      </w:r>
      <w:r w:rsidR="00575C6F" w:rsidRPr="0065366B">
        <w:rPr>
          <w:rFonts w:ascii="Bookman Old Style" w:eastAsia="Gungsuh" w:hAnsi="Bookman Old Style" w:cs="Arial"/>
          <w:b/>
          <w:bCs/>
          <w:u w:val="single"/>
        </w:rPr>
        <w:t>–</w:t>
      </w:r>
      <w:r w:rsidR="00494A71" w:rsidRPr="0065366B">
        <w:rPr>
          <w:rFonts w:ascii="Bookman Old Style" w:eastAsia="Gungsuh" w:hAnsi="Bookman Old Style" w:cs="Arial"/>
          <w:b/>
          <w:bCs/>
          <w:u w:val="single"/>
        </w:rPr>
        <w:t>BC/CSP</w:t>
      </w:r>
      <w:r w:rsidR="00494A71" w:rsidRPr="0065366B">
        <w:rPr>
          <w:rFonts w:ascii="Bookman Old Style" w:eastAsia="Gungsuh" w:hAnsi="Bookman Old Style" w:cs="Arial"/>
          <w:b/>
          <w:bCs/>
        </w:rPr>
        <w:t xml:space="preserve">:  </w:t>
      </w:r>
      <w:r w:rsidR="00A56611" w:rsidRPr="0065366B">
        <w:rPr>
          <w:rFonts w:ascii="Bookman Old Style" w:hAnsi="Bookman Old Style" w:cs="Arial"/>
          <w:kern w:val="3"/>
        </w:rPr>
        <w:t xml:space="preserve">The </w:t>
      </w:r>
      <w:r w:rsidR="00214FF1">
        <w:rPr>
          <w:rFonts w:ascii="Bookman Old Style" w:hAnsi="Bookman Old Style" w:cs="Arial"/>
          <w:kern w:val="3"/>
        </w:rPr>
        <w:t xml:space="preserve">total </w:t>
      </w:r>
      <w:r w:rsidR="00A56611" w:rsidRPr="0065366B">
        <w:rPr>
          <w:rFonts w:ascii="Bookman Old Style" w:hAnsi="Bookman Old Style" w:cs="Arial"/>
          <w:kern w:val="3"/>
        </w:rPr>
        <w:t xml:space="preserve">number of </w:t>
      </w:r>
      <w:r w:rsidR="00244211" w:rsidRPr="0065366B">
        <w:rPr>
          <w:rFonts w:ascii="Bookman Old Style" w:hAnsi="Bookman Old Style" w:cs="Arial"/>
          <w:kern w:val="3"/>
        </w:rPr>
        <w:t>BC and</w:t>
      </w:r>
      <w:r w:rsidR="006565A0">
        <w:rPr>
          <w:rFonts w:ascii="Bookman Old Style" w:hAnsi="Bookman Old Style" w:cs="Arial"/>
          <w:kern w:val="3"/>
        </w:rPr>
        <w:t xml:space="preserve"> </w:t>
      </w:r>
      <w:r w:rsidR="00EF216D" w:rsidRPr="0065366B">
        <w:rPr>
          <w:rFonts w:ascii="Bookman Old Style" w:hAnsi="Bookman Old Style" w:cs="Arial"/>
          <w:kern w:val="3"/>
        </w:rPr>
        <w:t xml:space="preserve">CSP has increased </w:t>
      </w:r>
      <w:r w:rsidR="00E639D8" w:rsidRPr="0065366B">
        <w:rPr>
          <w:rFonts w:ascii="Bookman Old Style" w:hAnsi="Bookman Old Style" w:cs="Arial"/>
          <w:kern w:val="3"/>
        </w:rPr>
        <w:t xml:space="preserve">to </w:t>
      </w:r>
      <w:r w:rsidR="00CC608F" w:rsidRPr="0065366B">
        <w:rPr>
          <w:rFonts w:ascii="Bookman Old Style" w:hAnsi="Bookman Old Style" w:cs="Arial"/>
          <w:kern w:val="3"/>
        </w:rPr>
        <w:t>137</w:t>
      </w:r>
      <w:r w:rsidR="009146F7">
        <w:rPr>
          <w:rFonts w:ascii="Bookman Old Style" w:hAnsi="Bookman Old Style" w:cs="Arial"/>
          <w:kern w:val="3"/>
        </w:rPr>
        <w:t>7</w:t>
      </w:r>
      <w:r w:rsidR="00CC608F" w:rsidRPr="0065366B">
        <w:rPr>
          <w:rFonts w:ascii="Bookman Old Style" w:hAnsi="Bookman Old Style" w:cs="Arial"/>
          <w:kern w:val="3"/>
        </w:rPr>
        <w:t xml:space="preserve"> on 31.</w:t>
      </w:r>
      <w:r w:rsidR="009146F7">
        <w:rPr>
          <w:rFonts w:ascii="Bookman Old Style" w:hAnsi="Bookman Old Style" w:cs="Arial"/>
          <w:kern w:val="3"/>
        </w:rPr>
        <w:t>03.2023</w:t>
      </w:r>
      <w:r w:rsidR="00CC608F" w:rsidRPr="0065366B">
        <w:rPr>
          <w:rFonts w:ascii="Bookman Old Style" w:hAnsi="Bookman Old Style" w:cs="Arial"/>
          <w:kern w:val="3"/>
        </w:rPr>
        <w:t xml:space="preserve"> against the total BCs and CSPs of 8</w:t>
      </w:r>
      <w:r w:rsidR="00C33270">
        <w:rPr>
          <w:rFonts w:ascii="Bookman Old Style" w:hAnsi="Bookman Old Style" w:cs="Arial"/>
          <w:kern w:val="3"/>
        </w:rPr>
        <w:t>69</w:t>
      </w:r>
      <w:r w:rsidR="00CC608F" w:rsidRPr="0065366B">
        <w:rPr>
          <w:rFonts w:ascii="Bookman Old Style" w:hAnsi="Bookman Old Style" w:cs="Arial"/>
          <w:kern w:val="3"/>
        </w:rPr>
        <w:t xml:space="preserve"> </w:t>
      </w:r>
      <w:r w:rsidR="00C33270">
        <w:rPr>
          <w:rFonts w:ascii="Bookman Old Style" w:hAnsi="Bookman Old Style" w:cs="Arial"/>
          <w:kern w:val="3"/>
        </w:rPr>
        <w:t>in 31.03.2022</w:t>
      </w:r>
      <w:r w:rsidR="00CC608F" w:rsidRPr="0065366B">
        <w:rPr>
          <w:rFonts w:ascii="Bookman Old Style" w:hAnsi="Bookman Old Style" w:cs="Arial"/>
          <w:kern w:val="3"/>
        </w:rPr>
        <w:t>.</w:t>
      </w:r>
    </w:p>
    <w:p w14:paraId="00C3A649" w14:textId="77777777" w:rsidR="00EF216D" w:rsidRPr="0065366B" w:rsidRDefault="00EF216D" w:rsidP="0012748B">
      <w:pPr>
        <w:jc w:val="both"/>
        <w:rPr>
          <w:rFonts w:ascii="Bookman Old Style" w:hAnsi="Bookman Old Style" w:cs="Arial"/>
          <w:kern w:val="3"/>
        </w:rPr>
      </w:pPr>
    </w:p>
    <w:p w14:paraId="6CCEEABA" w14:textId="77777777" w:rsidR="00D62753" w:rsidRPr="0065366B" w:rsidRDefault="00643417" w:rsidP="0071328C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(c</w:t>
      </w:r>
      <w:r w:rsidR="0071328C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)</w:t>
      </w:r>
      <w:r w:rsidR="007D0C41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Progress</w:t>
      </w:r>
      <w:r w:rsidR="00D62753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in Increasing Digita</w:t>
      </w:r>
      <w:r w:rsidR="0071328C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l modes of Payment in the State:</w:t>
      </w:r>
      <w:r w:rsidR="00D62753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Provision of Continuous Connectivity with </w:t>
      </w:r>
      <w:proofErr w:type="gramStart"/>
      <w:r w:rsidR="00D62753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sufficient</w:t>
      </w:r>
      <w:proofErr w:type="gramEnd"/>
      <w:r w:rsidR="00D62753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Bandwidth/ Resolving connectivity Issues.</w:t>
      </w:r>
    </w:p>
    <w:p w14:paraId="590FC1DA" w14:textId="77777777" w:rsidR="006D67D5" w:rsidRPr="0065366B" w:rsidRDefault="006D67D5" w:rsidP="0071328C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0979BFEF" w14:textId="692DE71C" w:rsidR="008C7E06" w:rsidRPr="0065366B" w:rsidRDefault="008C7E06" w:rsidP="008C7E06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The digital payment transactions through </w:t>
      </w:r>
      <w:r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different</w:t>
      </w: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modes </w:t>
      </w:r>
      <w:r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like</w:t>
      </w: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UPI, Debit Cards, Credit Cards, Internet banking, BHIM, BHIM </w:t>
      </w:r>
      <w:proofErr w:type="spellStart"/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Adhaar</w:t>
      </w:r>
      <w:proofErr w:type="spellEnd"/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, QR Code, Mobile banking,</w:t>
      </w:r>
      <w:r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IMPS,</w:t>
      </w: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NEFT, RTGS, </w:t>
      </w:r>
      <w:proofErr w:type="spellStart"/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PoS</w:t>
      </w:r>
      <w:proofErr w:type="spellEnd"/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terminals etc. Transactions performed through digital payments systems are faster, convenient, cheaper and safe</w:t>
      </w:r>
      <w:r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r</w:t>
      </w: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than traditional banking transactions. </w:t>
      </w:r>
    </w:p>
    <w:p w14:paraId="1EC4DA31" w14:textId="77777777" w:rsidR="008C7E06" w:rsidRPr="0065366B" w:rsidRDefault="008C7E06" w:rsidP="008C7E06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217AD9C4" w14:textId="368A0B91" w:rsidR="00AF6150" w:rsidRPr="0065366B" w:rsidRDefault="00BE0B98" w:rsidP="00A7376A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There are around </w:t>
      </w:r>
      <w:r w:rsidR="00A7376A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162</w:t>
      </w: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million digital transactions in the State as on 31.</w:t>
      </w:r>
      <w:r w:rsidR="00A7376A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03.2023</w:t>
      </w:r>
      <w:r w:rsidRPr="0065366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and the number of digital </w:t>
      </w:r>
      <w:r w:rsidR="00A7376A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transactions</w:t>
      </w:r>
      <w:r w:rsidR="00EC642B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payment</w:t>
      </w:r>
      <w:r w:rsidR="00A7376A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is increasing day by day</w:t>
      </w:r>
    </w:p>
    <w:p w14:paraId="0100F924" w14:textId="59DE8A6A" w:rsidR="00BE0B98" w:rsidRDefault="00BE0B98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4970FCFE" w14:textId="0EA6791D" w:rsidR="00606DE2" w:rsidRDefault="00606DE2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23810309" w14:textId="4B404340" w:rsidR="00606DE2" w:rsidRDefault="00606DE2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7B60BBBA" w14:textId="490EB85E" w:rsidR="00E5024F" w:rsidRDefault="00E5024F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54C3DA45" w14:textId="77777777" w:rsidR="00E5024F" w:rsidRDefault="00E5024F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6587BA46" w14:textId="23020E23" w:rsidR="00606DE2" w:rsidRDefault="00606DE2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20E50E1D" w14:textId="77777777" w:rsidR="00606DE2" w:rsidRPr="0065366B" w:rsidRDefault="00606DE2" w:rsidP="0040636B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</w:p>
    <w:p w14:paraId="1D6291C1" w14:textId="77777777" w:rsidR="00EF1190" w:rsidRDefault="00587978" w:rsidP="00EF1190">
      <w:pPr>
        <w:pStyle w:val="NoSpacing"/>
        <w:jc w:val="both"/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</w:pPr>
      <w:r w:rsidRPr="00587978">
        <w:rPr>
          <w:rFonts w:ascii="Bookman Old Style" w:eastAsia="Calibri" w:hAnsi="Bookman Old Style" w:cs="Arial"/>
          <w:b/>
          <w:bCs/>
          <w:kern w:val="0"/>
          <w:sz w:val="24"/>
          <w:szCs w:val="24"/>
          <w:lang w:val="en-IN" w:eastAsia="en-US"/>
        </w:rPr>
        <w:t xml:space="preserve">Expanding and Deepening of Digital Payment </w:t>
      </w:r>
      <w:r w:rsidR="00AF6150">
        <w:rPr>
          <w:rFonts w:ascii="Bookman Old Style" w:eastAsia="Calibri" w:hAnsi="Bookman Old Style" w:cs="Arial"/>
          <w:b/>
          <w:bCs/>
          <w:kern w:val="0"/>
          <w:sz w:val="24"/>
          <w:szCs w:val="24"/>
          <w:lang w:val="en-IN" w:eastAsia="en-US"/>
        </w:rPr>
        <w:t>Eco-</w:t>
      </w:r>
      <w:proofErr w:type="gramStart"/>
      <w:r w:rsidR="00AF6150">
        <w:rPr>
          <w:rFonts w:ascii="Bookman Old Style" w:eastAsia="Calibri" w:hAnsi="Bookman Old Style" w:cs="Arial"/>
          <w:b/>
          <w:bCs/>
          <w:kern w:val="0"/>
          <w:sz w:val="24"/>
          <w:szCs w:val="24"/>
          <w:lang w:val="en-IN" w:eastAsia="en-US"/>
        </w:rPr>
        <w:t>s</w:t>
      </w:r>
      <w:r w:rsidRPr="00587978">
        <w:rPr>
          <w:rFonts w:ascii="Bookman Old Style" w:eastAsia="Calibri" w:hAnsi="Bookman Old Style" w:cs="Arial"/>
          <w:b/>
          <w:bCs/>
          <w:kern w:val="0"/>
          <w:sz w:val="24"/>
          <w:szCs w:val="24"/>
          <w:lang w:val="en-IN" w:eastAsia="en-US"/>
        </w:rPr>
        <w:t>ystem</w:t>
      </w:r>
      <w:r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 xml:space="preserve"> </w:t>
      </w:r>
      <w:r w:rsidR="00874859">
        <w:rPr>
          <w:rFonts w:ascii="Bookman Old Style" w:eastAsia="Calibri" w:hAnsi="Bookman Old Style" w:cs="Arial"/>
          <w:kern w:val="0"/>
          <w:sz w:val="24"/>
          <w:szCs w:val="24"/>
          <w:lang w:val="en-IN" w:eastAsia="en-US"/>
        </w:rPr>
        <w:t>:</w:t>
      </w:r>
      <w:proofErr w:type="gramEnd"/>
    </w:p>
    <w:tbl>
      <w:tblPr>
        <w:tblW w:w="10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105"/>
        <w:gridCol w:w="2026"/>
        <w:gridCol w:w="1452"/>
        <w:gridCol w:w="1122"/>
        <w:gridCol w:w="2424"/>
        <w:gridCol w:w="1734"/>
      </w:tblGrid>
      <w:tr w:rsidR="00587978" w:rsidRPr="00A514FF" w14:paraId="2D10BCBF" w14:textId="77777777" w:rsidTr="00587978">
        <w:trPr>
          <w:trHeight w:val="266"/>
        </w:trPr>
        <w:tc>
          <w:tcPr>
            <w:tcW w:w="10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697E4B04" w14:textId="46023036" w:rsidR="00587978" w:rsidRPr="00A514FF" w:rsidRDefault="00587978" w:rsidP="00874859">
            <w:pPr>
              <w:spacing w:line="269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>1</w:t>
            </w:r>
            <w:proofErr w:type="spellStart"/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position w:val="7"/>
                <w:sz w:val="18"/>
                <w:szCs w:val="18"/>
                <w:vertAlign w:val="superscript"/>
              </w:rPr>
              <w:t>st</w:t>
            </w:r>
            <w:proofErr w:type="spellEnd"/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 xml:space="preserve"> Phase Expanding and Deepening of Digital Payments Ecosystem for 100% </w:t>
            </w:r>
            <w:proofErr w:type="spellStart"/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>Digitisation</w:t>
            </w:r>
            <w:proofErr w:type="spellEnd"/>
            <w:r w:rsidRPr="00A514FF">
              <w:rPr>
                <w:rFonts w:ascii="Bookman Old Style" w:eastAsia="Calibri" w:hAnsi="Bookman Old Style"/>
                <w:b/>
                <w:bCs/>
                <w:color w:val="000000"/>
                <w:kern w:val="24"/>
                <w:sz w:val="18"/>
                <w:szCs w:val="18"/>
              </w:rPr>
              <w:t xml:space="preserve"> as on </w:t>
            </w:r>
            <w:r w:rsidR="008B4551">
              <w:rPr>
                <w:rFonts w:ascii="Bookman Old Style" w:eastAsia="Calibri" w:hAnsi="Bookman Old Style"/>
                <w:b/>
                <w:bCs/>
                <w:color w:val="000000"/>
                <w:kern w:val="24"/>
                <w:sz w:val="18"/>
                <w:szCs w:val="18"/>
              </w:rPr>
              <w:t>March</w:t>
            </w:r>
            <w:r w:rsidRPr="00A514FF">
              <w:rPr>
                <w:rFonts w:ascii="Bookman Old Style" w:eastAsia="Calibri" w:hAnsi="Bookman Old Style"/>
                <w:b/>
                <w:bCs/>
                <w:color w:val="000000"/>
                <w:kern w:val="24"/>
                <w:sz w:val="18"/>
                <w:szCs w:val="18"/>
              </w:rPr>
              <w:t>, 202</w:t>
            </w:r>
            <w:r w:rsidR="008B4551">
              <w:rPr>
                <w:rFonts w:ascii="Bookman Old Style" w:eastAsia="Calibri" w:hAnsi="Bookman Old Style"/>
                <w:b/>
                <w:bCs/>
                <w:color w:val="000000"/>
                <w:kern w:val="24"/>
                <w:sz w:val="18"/>
                <w:szCs w:val="18"/>
              </w:rPr>
              <w:t>3</w:t>
            </w:r>
          </w:p>
        </w:tc>
      </w:tr>
      <w:tr w:rsidR="00587978" w:rsidRPr="00A514FF" w14:paraId="1FE70C72" w14:textId="77777777" w:rsidTr="00587978">
        <w:trPr>
          <w:trHeight w:val="266"/>
        </w:trPr>
        <w:tc>
          <w:tcPr>
            <w:tcW w:w="10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625B6E9" w14:textId="77777777" w:rsidR="00587978" w:rsidRPr="00A514FF" w:rsidRDefault="00587978" w:rsidP="00874859">
            <w:pPr>
              <w:spacing w:line="269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>Identified District: RIBHOI</w:t>
            </w:r>
          </w:p>
        </w:tc>
      </w:tr>
      <w:tr w:rsidR="00587978" w:rsidRPr="00A514FF" w14:paraId="3F73DD80" w14:textId="77777777" w:rsidTr="00AF6150">
        <w:trPr>
          <w:trHeight w:val="1936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DD5385E" w14:textId="6233E1F4" w:rsidR="00587978" w:rsidRPr="00E32E22" w:rsidRDefault="00E32E22" w:rsidP="008748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E32E22">
              <w:rPr>
                <w:rFonts w:ascii="Arial" w:hAnsi="Arial" w:cs="Arial"/>
                <w:b/>
                <w:bCs/>
                <w:sz w:val="18"/>
                <w:szCs w:val="18"/>
              </w:rPr>
              <w:t>Sl</w:t>
            </w:r>
            <w:proofErr w:type="spellEnd"/>
            <w:r w:rsidRPr="00E32E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7E06EDF" w14:textId="77777777" w:rsidR="00587978" w:rsidRPr="00A514FF" w:rsidRDefault="00587978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Total No. of Operative SB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80A639C" w14:textId="77777777" w:rsidR="00587978" w:rsidRPr="00A514FF" w:rsidRDefault="00587978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 xml:space="preserve">Total No. of Operative SB Accounts covered with at least one of the facilities - Debit/ </w:t>
            </w:r>
            <w:proofErr w:type="spellStart"/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RuPay</w:t>
            </w:r>
            <w:proofErr w:type="spellEnd"/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 xml:space="preserve"> cards/ Net Banking/ Mobile Banking/ UPI/ USSD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419C4897" w14:textId="77777777" w:rsidR="00587978" w:rsidRPr="00A514FF" w:rsidRDefault="00587978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% of such Accounts out of total Operative Savings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23999882" w14:textId="77777777" w:rsidR="00587978" w:rsidRPr="00A514FF" w:rsidRDefault="00587978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Total No. of Operative Current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567C69EC" w14:textId="77777777" w:rsidR="00587978" w:rsidRPr="00A514FF" w:rsidRDefault="00587978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Total No. of Operative Current Accounts covered with at least one of facilities - Net Banking/ POS/ QR etc.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DF8737F" w14:textId="77777777" w:rsidR="00587978" w:rsidRPr="00A514FF" w:rsidRDefault="00587978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% of such Accounts out of total Operative Current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</w:tr>
      <w:tr w:rsidR="00587978" w:rsidRPr="00A514FF" w14:paraId="31936180" w14:textId="77777777" w:rsidTr="00AF6150">
        <w:trPr>
          <w:trHeight w:val="127"/>
        </w:trPr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B0555D5" w14:textId="187D6A6B" w:rsidR="00587978" w:rsidRPr="00A514FF" w:rsidRDefault="00E32E22" w:rsidP="00E32E22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6BAC084" w14:textId="77777777" w:rsidR="00587978" w:rsidRPr="00A514FF" w:rsidRDefault="00587978" w:rsidP="0087485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140467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7578769F" w14:textId="77777777" w:rsidR="00587978" w:rsidRPr="00A514FF" w:rsidRDefault="00587978" w:rsidP="0087485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140467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296B968B" w14:textId="77777777" w:rsidR="00587978" w:rsidRPr="00A514FF" w:rsidRDefault="00587978" w:rsidP="0087485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F7B11D0" w14:textId="77777777" w:rsidR="00587978" w:rsidRPr="00A514FF" w:rsidRDefault="00587978" w:rsidP="0087485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F671EB2" w14:textId="77777777" w:rsidR="00587978" w:rsidRPr="00A514FF" w:rsidRDefault="00587978" w:rsidP="00874859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42116D1A" w14:textId="77777777" w:rsidR="00587978" w:rsidRPr="00A514FF" w:rsidRDefault="00587978" w:rsidP="00874859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100%</w:t>
            </w:r>
          </w:p>
        </w:tc>
      </w:tr>
    </w:tbl>
    <w:p w14:paraId="7E104A48" w14:textId="77777777" w:rsidR="00587978" w:rsidRDefault="00587978" w:rsidP="00EF1190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W w:w="10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105"/>
        <w:gridCol w:w="2014"/>
        <w:gridCol w:w="1444"/>
        <w:gridCol w:w="1199"/>
        <w:gridCol w:w="2327"/>
        <w:gridCol w:w="1722"/>
      </w:tblGrid>
      <w:tr w:rsidR="00AF6150" w:rsidRPr="00A514FF" w14:paraId="30DC85F8" w14:textId="77777777" w:rsidTr="00AF6150">
        <w:trPr>
          <w:trHeight w:val="466"/>
        </w:trPr>
        <w:tc>
          <w:tcPr>
            <w:tcW w:w="10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51FEA3BE" w14:textId="23BA785B" w:rsidR="00AF6150" w:rsidRPr="00A514FF" w:rsidRDefault="00AF6150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>2</w:t>
            </w:r>
            <w:proofErr w:type="spellStart"/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position w:val="7"/>
                <w:sz w:val="18"/>
                <w:szCs w:val="18"/>
                <w:vertAlign w:val="superscript"/>
              </w:rPr>
              <w:t>nd</w:t>
            </w:r>
            <w:proofErr w:type="spellEnd"/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 xml:space="preserve"> Phase Expanding and Deepening of Digital Payments Ecosystem for 100% </w:t>
            </w:r>
            <w:proofErr w:type="spellStart"/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>Digitisation</w:t>
            </w:r>
            <w:proofErr w:type="spellEnd"/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  <w:r w:rsidRPr="00A514FF">
              <w:rPr>
                <w:rFonts w:ascii="Bookman Old Style" w:eastAsia="Calibri" w:hAnsi="Bookman Old Style"/>
                <w:b/>
                <w:bCs/>
                <w:color w:val="000000"/>
                <w:kern w:val="24"/>
                <w:sz w:val="18"/>
                <w:szCs w:val="18"/>
              </w:rPr>
              <w:t xml:space="preserve">as on </w:t>
            </w:r>
            <w:r w:rsidR="008B4551">
              <w:rPr>
                <w:rFonts w:ascii="Bookman Old Style" w:eastAsia="Calibri" w:hAnsi="Bookman Old Style"/>
                <w:b/>
                <w:bCs/>
                <w:color w:val="000000"/>
                <w:kern w:val="24"/>
                <w:sz w:val="18"/>
                <w:szCs w:val="18"/>
              </w:rPr>
              <w:t>March, 2023</w:t>
            </w:r>
          </w:p>
        </w:tc>
      </w:tr>
      <w:tr w:rsidR="00AF6150" w:rsidRPr="00A514FF" w14:paraId="4B5A7214" w14:textId="77777777" w:rsidTr="00AF6150">
        <w:trPr>
          <w:trHeight w:val="466"/>
        </w:trPr>
        <w:tc>
          <w:tcPr>
            <w:tcW w:w="1092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70C3BAF" w14:textId="77777777" w:rsidR="00AF6150" w:rsidRPr="00A514FF" w:rsidRDefault="00AF6150" w:rsidP="008748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 w:cs="Calibri"/>
                <w:b/>
                <w:bCs/>
                <w:color w:val="000000"/>
                <w:kern w:val="24"/>
                <w:sz w:val="18"/>
                <w:szCs w:val="18"/>
              </w:rPr>
              <w:t>Identified District: EAST JAINTIA HILLS</w:t>
            </w:r>
          </w:p>
        </w:tc>
      </w:tr>
      <w:tr w:rsidR="00E32E22" w:rsidRPr="00A514FF" w14:paraId="1DC1691C" w14:textId="77777777" w:rsidTr="00AF6150">
        <w:trPr>
          <w:trHeight w:val="2219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67D74A5F" w14:textId="7F52E111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2E22">
              <w:rPr>
                <w:rFonts w:ascii="Arial" w:hAnsi="Arial" w:cs="Arial"/>
                <w:b/>
                <w:bCs/>
                <w:sz w:val="18"/>
                <w:szCs w:val="18"/>
              </w:rPr>
              <w:t>Sl</w:t>
            </w:r>
            <w:proofErr w:type="spellEnd"/>
            <w:r w:rsidRPr="00E32E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494D07F0" w14:textId="77777777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Total No. of Operative SB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2B364B78" w14:textId="77777777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 xml:space="preserve">Total No. of Operative SB Accounts covered with at least one of the facilities - Debit/ </w:t>
            </w:r>
            <w:proofErr w:type="spellStart"/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RuPay</w:t>
            </w:r>
            <w:proofErr w:type="spellEnd"/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 xml:space="preserve"> cards/ Net Banking/ Mobile Banking/ UPI/ USSD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5CFA06CB" w14:textId="77777777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% of such Accounts out of total Operative Savings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EE38F88" w14:textId="77777777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Total No. of Operative Current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7B0642EC" w14:textId="77777777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Total No. of Operative Current Accounts covered with at least one of facilities - Net Banking/ POS/ QR etc.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hideMark/>
          </w:tcPr>
          <w:p w14:paraId="3A4254F1" w14:textId="77777777" w:rsidR="00E32E22" w:rsidRPr="00A514FF" w:rsidRDefault="00E32E22" w:rsidP="00E32E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14FF">
              <w:rPr>
                <w:rFonts w:ascii="Bookman Old Style" w:hAnsi="Bookman Old Style"/>
                <w:b/>
                <w:bCs/>
                <w:color w:val="000000"/>
                <w:kern w:val="24"/>
                <w:sz w:val="18"/>
                <w:szCs w:val="18"/>
              </w:rPr>
              <w:t>% of such Accounts out of total Operative Current Accounts</w:t>
            </w:r>
            <w:r w:rsidRPr="00A514FF">
              <w:rPr>
                <w:rFonts w:ascii="Bookman Old Style" w:eastAsia="Calibri" w:hAnsi="Bookman Old Style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</w:tr>
      <w:tr w:rsidR="00E32E22" w:rsidRPr="00A514FF" w14:paraId="0A9B8B6E" w14:textId="77777777" w:rsidTr="00AF6150">
        <w:trPr>
          <w:trHeight w:val="237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14:paraId="1FEA1C8F" w14:textId="299157FE" w:rsidR="00E32E22" w:rsidRPr="00A514FF" w:rsidRDefault="00E32E22" w:rsidP="00E32E2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65511" w14:textId="77777777" w:rsidR="00E32E22" w:rsidRPr="00A514FF" w:rsidRDefault="00E32E22" w:rsidP="00E32E2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89335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right w:w="97" w:type="dxa"/>
            </w:tcMar>
            <w:vAlign w:val="center"/>
            <w:hideMark/>
          </w:tcPr>
          <w:p w14:paraId="520A5314" w14:textId="77777777" w:rsidR="00E32E22" w:rsidRPr="00A514FF" w:rsidRDefault="00E32E22" w:rsidP="00E32E2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55539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right w:w="97" w:type="dxa"/>
            </w:tcMar>
            <w:vAlign w:val="center"/>
            <w:hideMark/>
          </w:tcPr>
          <w:p w14:paraId="7122014D" w14:textId="77777777" w:rsidR="00E32E22" w:rsidRPr="00A514FF" w:rsidRDefault="00E32E22" w:rsidP="00E32E2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62.17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right w:w="97" w:type="dxa"/>
            </w:tcMar>
            <w:vAlign w:val="center"/>
            <w:hideMark/>
          </w:tcPr>
          <w:p w14:paraId="4098DB69" w14:textId="77777777" w:rsidR="00E32E22" w:rsidRPr="00A514FF" w:rsidRDefault="00E32E22" w:rsidP="00E32E2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right w:w="97" w:type="dxa"/>
            </w:tcMar>
            <w:vAlign w:val="center"/>
            <w:hideMark/>
          </w:tcPr>
          <w:p w14:paraId="43262F79" w14:textId="77777777" w:rsidR="00E32E22" w:rsidRPr="00A514FF" w:rsidRDefault="00E32E22" w:rsidP="00E32E22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" w:type="dxa"/>
              <w:left w:w="97" w:type="dxa"/>
              <w:right w:w="97" w:type="dxa"/>
            </w:tcMar>
            <w:vAlign w:val="center"/>
            <w:hideMark/>
          </w:tcPr>
          <w:p w14:paraId="2AF8171D" w14:textId="77777777" w:rsidR="00E32E22" w:rsidRPr="00A514FF" w:rsidRDefault="00E32E22" w:rsidP="00E32E22">
            <w:pPr>
              <w:jc w:val="center"/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b/>
                <w:bCs/>
                <w:color w:val="000000"/>
                <w:sz w:val="18"/>
                <w:szCs w:val="18"/>
              </w:rPr>
              <w:t>70.49</w:t>
            </w:r>
          </w:p>
        </w:tc>
      </w:tr>
    </w:tbl>
    <w:p w14:paraId="0C40B0EA" w14:textId="77777777" w:rsidR="00AF6150" w:rsidRPr="0065366B" w:rsidRDefault="00AF6150" w:rsidP="00EF1190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28CFAC18" w14:textId="77777777" w:rsidR="0065366B" w:rsidRDefault="0065366B" w:rsidP="00EF1190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>
        <w:rPr>
          <w:rFonts w:ascii="Bookman Old Style" w:hAnsi="Bookman Old Style" w:cs="Arial"/>
          <w:b/>
          <w:bCs/>
          <w:sz w:val="24"/>
          <w:szCs w:val="24"/>
          <w:u w:val="single"/>
        </w:rPr>
        <w:t>Agenda.3:</w:t>
      </w:r>
    </w:p>
    <w:p w14:paraId="4209D934" w14:textId="77777777" w:rsidR="0065366B" w:rsidRDefault="0065366B" w:rsidP="00EF1190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0EDE7A7B" w14:textId="300F2DBB" w:rsidR="005724DB" w:rsidRPr="0065366B" w:rsidRDefault="00C438CB" w:rsidP="00EF1190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Business development</w:t>
      </w:r>
      <w:r w:rsidR="00430918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and Credit Disbursement by Banks in FY</w:t>
      </w:r>
      <w:r w:rsidR="002F1538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="00430918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2022-23 </w:t>
      </w:r>
    </w:p>
    <w:p w14:paraId="080D8B51" w14:textId="77777777" w:rsidR="00430918" w:rsidRPr="0065366B" w:rsidRDefault="00430918" w:rsidP="00EF1190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0AA6529C" w14:textId="617F0F06" w:rsidR="00D62753" w:rsidRPr="0065366B" w:rsidRDefault="00D62753" w:rsidP="00C73E08">
      <w:pPr>
        <w:jc w:val="both"/>
        <w:rPr>
          <w:rFonts w:ascii="Bookman Old Style" w:hAnsi="Bookman Old Style" w:cs="Arial"/>
          <w:b/>
          <w:bCs/>
        </w:rPr>
      </w:pPr>
      <w:r w:rsidRPr="0065366B">
        <w:rPr>
          <w:rFonts w:ascii="Bookman Old Style" w:hAnsi="Bookman Old Style" w:cs="Arial"/>
          <w:b/>
          <w:bCs/>
        </w:rPr>
        <w:t>Deposits:</w:t>
      </w:r>
      <w:r w:rsidRPr="0065366B">
        <w:rPr>
          <w:rFonts w:ascii="Bookman Old Style" w:hAnsi="Bookman Old Style" w:cs="Arial"/>
        </w:rPr>
        <w:t xml:space="preserve"> The total deposits in the quarter ending</w:t>
      </w:r>
      <w:r w:rsidR="00874859">
        <w:rPr>
          <w:rFonts w:ascii="Bookman Old Style" w:hAnsi="Bookman Old Style" w:cs="Arial"/>
        </w:rPr>
        <w:t xml:space="preserve"> </w:t>
      </w:r>
      <w:r w:rsidR="00963655">
        <w:rPr>
          <w:rFonts w:ascii="Bookman Old Style" w:hAnsi="Bookman Old Style" w:cs="Arial"/>
        </w:rPr>
        <w:t xml:space="preserve">March 2023 </w:t>
      </w:r>
      <w:r w:rsidR="0021166D" w:rsidRPr="0065366B">
        <w:rPr>
          <w:rFonts w:ascii="Bookman Old Style" w:hAnsi="Bookman Old Style" w:cs="Arial"/>
        </w:rPr>
        <w:t xml:space="preserve">is </w:t>
      </w:r>
      <w:r w:rsidR="0021166D" w:rsidRPr="0065366B">
        <w:rPr>
          <w:rFonts w:ascii="Arial" w:hAnsi="Arial" w:cs="Arial"/>
          <w:b/>
          <w:bCs/>
        </w:rPr>
        <w:t>₹</w:t>
      </w:r>
      <w:r w:rsidR="009E6CC4" w:rsidRPr="0065366B">
        <w:rPr>
          <w:rFonts w:ascii="Bookman Old Style" w:hAnsi="Bookman Old Style" w:cs="Arial"/>
          <w:b/>
          <w:bCs/>
        </w:rPr>
        <w:t>.</w:t>
      </w:r>
      <w:r w:rsidR="00963655" w:rsidRPr="00B11BEE">
        <w:rPr>
          <w:rFonts w:ascii="Bookman Old Style" w:hAnsi="Bookman Old Style" w:cs="Arial"/>
          <w:color w:val="000000"/>
        </w:rPr>
        <w:t>35729.38</w:t>
      </w:r>
      <w:r w:rsidR="00963655">
        <w:rPr>
          <w:rFonts w:ascii="Bookman Old Style" w:hAnsi="Bookman Old Style" w:cs="Arial"/>
          <w:b/>
          <w:bCs/>
        </w:rPr>
        <w:t xml:space="preserve"> </w:t>
      </w:r>
      <w:r w:rsidR="00C97FBC" w:rsidRPr="0065366B">
        <w:rPr>
          <w:rFonts w:ascii="Bookman Old Style" w:hAnsi="Bookman Old Style" w:cs="Calibri"/>
          <w:b/>
          <w:bCs/>
          <w:color w:val="000000"/>
        </w:rPr>
        <w:t>Cr</w:t>
      </w:r>
      <w:r w:rsidR="0085428A" w:rsidRPr="0065366B">
        <w:rPr>
          <w:rFonts w:ascii="Bookman Old Style" w:hAnsi="Bookman Old Style" w:cs="Arial"/>
        </w:rPr>
        <w:t xml:space="preserve"> against</w:t>
      </w:r>
      <w:bookmarkStart w:id="2" w:name="_Hlk51081145"/>
      <w:r w:rsidR="00874859">
        <w:rPr>
          <w:rFonts w:ascii="Bookman Old Style" w:hAnsi="Bookman Old Style" w:cs="Arial"/>
        </w:rPr>
        <w:t xml:space="preserve"> </w:t>
      </w:r>
      <w:r w:rsidR="00BE5BB2" w:rsidRPr="0065366B">
        <w:rPr>
          <w:rFonts w:ascii="Bookman Old Style" w:hAnsi="Arial" w:cs="Arial"/>
        </w:rPr>
        <w:t>₹</w:t>
      </w:r>
      <w:bookmarkEnd w:id="2"/>
      <w:r w:rsidR="00E361D2" w:rsidRPr="0065366B">
        <w:rPr>
          <w:rFonts w:ascii="Bookman Old Style" w:hAnsi="Bookman Old Style" w:cs="Arial"/>
        </w:rPr>
        <w:t>.</w:t>
      </w:r>
      <w:r w:rsidR="00E8745C" w:rsidRPr="0065366B">
        <w:rPr>
          <w:rFonts w:ascii="Bookman Old Style" w:hAnsi="Bookman Old Style" w:cs="Calibri"/>
          <w:color w:val="000000"/>
        </w:rPr>
        <w:t>34228.56</w:t>
      </w:r>
      <w:r w:rsidR="00E8745C">
        <w:rPr>
          <w:rFonts w:ascii="Bookman Old Style" w:hAnsi="Bookman Old Style" w:cs="Calibri"/>
          <w:color w:val="000000"/>
        </w:rPr>
        <w:t xml:space="preserve"> </w:t>
      </w:r>
      <w:r w:rsidR="00874859">
        <w:rPr>
          <w:rFonts w:ascii="Bookman Old Style" w:hAnsi="Bookman Old Style" w:cs="Calibri"/>
          <w:b/>
          <w:bCs/>
          <w:color w:val="000000"/>
        </w:rPr>
        <w:t xml:space="preserve">Cr </w:t>
      </w:r>
      <w:r w:rsidR="0024300C" w:rsidRPr="0065366B">
        <w:rPr>
          <w:rFonts w:ascii="Bookman Old Style" w:hAnsi="Bookman Old Style" w:cs="Arial"/>
        </w:rPr>
        <w:t>in</w:t>
      </w:r>
      <w:r w:rsidR="00874859">
        <w:rPr>
          <w:rFonts w:ascii="Bookman Old Style" w:hAnsi="Bookman Old Style" w:cs="Arial"/>
        </w:rPr>
        <w:t xml:space="preserve"> </w:t>
      </w:r>
      <w:r w:rsidR="00E8745C">
        <w:rPr>
          <w:rFonts w:ascii="Bookman Old Style" w:hAnsi="Bookman Old Style" w:cs="Arial"/>
        </w:rPr>
        <w:t>March 2022</w:t>
      </w:r>
      <w:r w:rsidR="00874859">
        <w:rPr>
          <w:rFonts w:ascii="Bookman Old Style" w:hAnsi="Bookman Old Style" w:cs="Arial"/>
          <w:color w:val="000000"/>
        </w:rPr>
        <w:t xml:space="preserve"> </w:t>
      </w:r>
      <w:r w:rsidR="0085428A" w:rsidRPr="0065366B">
        <w:rPr>
          <w:rFonts w:ascii="Bookman Old Style" w:hAnsi="Bookman Old Style" w:cs="Arial"/>
          <w:color w:val="000000"/>
        </w:rPr>
        <w:t>with</w:t>
      </w:r>
      <w:r w:rsidR="00BE5BB2" w:rsidRPr="0065366B">
        <w:rPr>
          <w:rFonts w:ascii="Bookman Old Style" w:hAnsi="Bookman Old Style" w:cs="Arial"/>
          <w:color w:val="000000"/>
        </w:rPr>
        <w:t xml:space="preserve"> a </w:t>
      </w:r>
      <w:r w:rsidR="00E82008" w:rsidRPr="0065366B">
        <w:rPr>
          <w:rFonts w:ascii="Bookman Old Style" w:hAnsi="Bookman Old Style" w:cs="Arial"/>
          <w:color w:val="000000"/>
        </w:rPr>
        <w:t xml:space="preserve">YoY growth of </w:t>
      </w:r>
      <w:r w:rsidR="00AF49B1" w:rsidRPr="0065366B">
        <w:rPr>
          <w:rFonts w:ascii="Bookman Old Style" w:hAnsi="Arial" w:cs="Arial"/>
        </w:rPr>
        <w:t>₹</w:t>
      </w:r>
      <w:r w:rsidR="00A8468F" w:rsidRPr="0065366B">
        <w:rPr>
          <w:rFonts w:ascii="Bookman Old Style" w:hAnsi="Bookman Old Style" w:cs="Arial"/>
        </w:rPr>
        <w:t>.</w:t>
      </w:r>
      <w:r w:rsidR="002742A9">
        <w:rPr>
          <w:rFonts w:ascii="Bookman Old Style" w:hAnsi="Bookman Old Style" w:cs="Arial"/>
        </w:rPr>
        <w:t>1500.</w:t>
      </w:r>
      <w:r w:rsidR="00A96530">
        <w:rPr>
          <w:rFonts w:ascii="Bookman Old Style" w:hAnsi="Bookman Old Style" w:cs="Arial"/>
        </w:rPr>
        <w:t>82</w:t>
      </w:r>
      <w:r w:rsidR="002742A9">
        <w:rPr>
          <w:rFonts w:ascii="Bookman Old Style" w:hAnsi="Bookman Old Style" w:cs="Arial"/>
        </w:rPr>
        <w:t xml:space="preserve"> </w:t>
      </w:r>
      <w:r w:rsidR="00E82008" w:rsidRPr="0065366B">
        <w:rPr>
          <w:rFonts w:ascii="Bookman Old Style" w:hAnsi="Bookman Old Style" w:cs="Arial"/>
        </w:rPr>
        <w:t xml:space="preserve">Crores. </w:t>
      </w:r>
      <w:r w:rsidR="00417DF8" w:rsidRPr="0065366B">
        <w:rPr>
          <w:rFonts w:ascii="Bookman Old Style" w:hAnsi="Bookman Old Style" w:cs="Arial"/>
        </w:rPr>
        <w:t>(</w:t>
      </w:r>
      <w:r w:rsidRPr="0065366B">
        <w:rPr>
          <w:rFonts w:ascii="Bookman Old Style" w:hAnsi="Bookman Old Style" w:cs="Arial"/>
        </w:rPr>
        <w:t xml:space="preserve">Bank-wise position is </w:t>
      </w:r>
      <w:r w:rsidRPr="0065366B">
        <w:rPr>
          <w:rFonts w:ascii="Bookman Old Style" w:hAnsi="Bookman Old Style" w:cs="Arial"/>
          <w:highlight w:val="yellow"/>
        </w:rPr>
        <w:t xml:space="preserve">shown in page no </w:t>
      </w:r>
      <w:r w:rsidR="00CB6621" w:rsidRPr="0065366B">
        <w:rPr>
          <w:rFonts w:ascii="Bookman Old Style" w:hAnsi="Bookman Old Style" w:cs="Arial"/>
          <w:highlight w:val="yellow"/>
        </w:rPr>
        <w:t>1</w:t>
      </w:r>
      <w:r w:rsidR="009F2594" w:rsidRPr="0065366B">
        <w:rPr>
          <w:rFonts w:ascii="Bookman Old Style" w:hAnsi="Bookman Old Style" w:cs="Arial"/>
          <w:highlight w:val="yellow"/>
        </w:rPr>
        <w:t>5</w:t>
      </w:r>
      <w:r w:rsidR="00417DF8" w:rsidRPr="0065366B">
        <w:rPr>
          <w:rFonts w:ascii="Bookman Old Style" w:hAnsi="Bookman Old Style" w:cs="Arial"/>
          <w:highlight w:val="yellow"/>
        </w:rPr>
        <w:t>).</w:t>
      </w:r>
    </w:p>
    <w:p w14:paraId="29BBD648" w14:textId="77777777" w:rsidR="007A4165" w:rsidRPr="0065366B" w:rsidRDefault="007A4165" w:rsidP="00EF1190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2618570F" w14:textId="717FA241" w:rsidR="00EF1190" w:rsidRPr="0065366B" w:rsidRDefault="00D62753" w:rsidP="007261FD">
      <w:pPr>
        <w:jc w:val="both"/>
        <w:rPr>
          <w:rFonts w:ascii="Bookman Old Style" w:hAnsi="Bookman Old Style" w:cs="Arial"/>
        </w:rPr>
      </w:pPr>
      <w:r w:rsidRPr="0065366B">
        <w:rPr>
          <w:rFonts w:ascii="Bookman Old Style" w:hAnsi="Bookman Old Style" w:cs="Arial"/>
          <w:b/>
          <w:bCs/>
          <w:u w:val="single"/>
        </w:rPr>
        <w:t>Advances:</w:t>
      </w:r>
      <w:r w:rsidRPr="0065366B">
        <w:rPr>
          <w:rFonts w:ascii="Bookman Old Style" w:hAnsi="Bookman Old Style" w:cs="Arial"/>
        </w:rPr>
        <w:t xml:space="preserve"> The total Advances in the Quarter ending </w:t>
      </w:r>
      <w:r w:rsidR="0025164F">
        <w:rPr>
          <w:rFonts w:ascii="Bookman Old Style" w:hAnsi="Bookman Old Style" w:cs="Arial"/>
        </w:rPr>
        <w:t>March</w:t>
      </w:r>
      <w:r w:rsidR="00E75B23" w:rsidRPr="0065366B">
        <w:rPr>
          <w:rFonts w:ascii="Bookman Old Style" w:hAnsi="Bookman Old Style" w:cs="Arial"/>
        </w:rPr>
        <w:t>-</w:t>
      </w:r>
      <w:r w:rsidR="004864EB" w:rsidRPr="0065366B">
        <w:rPr>
          <w:rFonts w:ascii="Bookman Old Style" w:hAnsi="Bookman Old Style" w:cs="Arial"/>
        </w:rPr>
        <w:t>202</w:t>
      </w:r>
      <w:r w:rsidR="0025164F">
        <w:rPr>
          <w:rFonts w:ascii="Bookman Old Style" w:hAnsi="Bookman Old Style" w:cs="Arial"/>
        </w:rPr>
        <w:t>3</w:t>
      </w:r>
      <w:r w:rsidR="008577DA" w:rsidRPr="0065366B">
        <w:rPr>
          <w:rFonts w:ascii="Bookman Old Style" w:hAnsi="Bookman Old Style" w:cs="Arial"/>
        </w:rPr>
        <w:t xml:space="preserve"> is </w:t>
      </w:r>
      <w:r w:rsidR="006E5B81" w:rsidRPr="0065366B">
        <w:rPr>
          <w:rFonts w:ascii="Bookman Old Style" w:hAnsi="Arial" w:cs="Arial"/>
          <w:b/>
          <w:bCs/>
        </w:rPr>
        <w:t>₹</w:t>
      </w:r>
      <w:r w:rsidR="007C69D8" w:rsidRPr="0065366B">
        <w:rPr>
          <w:rFonts w:ascii="Bookman Old Style" w:hAnsi="Bookman Old Style" w:cs="Arial"/>
          <w:b/>
          <w:bCs/>
        </w:rPr>
        <w:t>.</w:t>
      </w:r>
      <w:r w:rsidR="00A96530" w:rsidRPr="00B11BEE">
        <w:rPr>
          <w:rFonts w:ascii="Bookman Old Style" w:hAnsi="Bookman Old Style" w:cs="Arial"/>
          <w:color w:val="000000"/>
        </w:rPr>
        <w:t>16372.18</w:t>
      </w:r>
      <w:r w:rsidR="008F23DD">
        <w:rPr>
          <w:rFonts w:ascii="Bookman Old Style" w:hAnsi="Bookman Old Style" w:cs="Arial"/>
          <w:b/>
          <w:bCs/>
        </w:rPr>
        <w:t xml:space="preserve"> </w:t>
      </w:r>
      <w:r w:rsidR="008577DA" w:rsidRPr="0065366B">
        <w:rPr>
          <w:rFonts w:ascii="Bookman Old Style" w:hAnsi="Bookman Old Style" w:cs="Arial"/>
        </w:rPr>
        <w:t xml:space="preserve">Cr as against </w:t>
      </w:r>
      <w:r w:rsidR="00E00E5C" w:rsidRPr="0065366B">
        <w:rPr>
          <w:rFonts w:ascii="Bookman Old Style" w:hAnsi="Arial" w:cs="Arial"/>
        </w:rPr>
        <w:t>₹</w:t>
      </w:r>
      <w:r w:rsidR="007C69D8" w:rsidRPr="0065366B">
        <w:rPr>
          <w:rFonts w:ascii="Bookman Old Style" w:hAnsi="Bookman Old Style" w:cs="Arial"/>
        </w:rPr>
        <w:t>.</w:t>
      </w:r>
      <w:r w:rsidR="006A4055" w:rsidRPr="0065366B">
        <w:rPr>
          <w:rFonts w:ascii="Bookman Old Style" w:hAnsi="Bookman Old Style" w:cs="Calibri"/>
          <w:color w:val="000000"/>
        </w:rPr>
        <w:t>14347.48</w:t>
      </w:r>
      <w:r w:rsidR="00874859">
        <w:rPr>
          <w:rFonts w:ascii="Bookman Old Style" w:hAnsi="Bookman Old Style" w:cs="Arial"/>
        </w:rPr>
        <w:t xml:space="preserve"> </w:t>
      </w:r>
      <w:r w:rsidR="008577DA" w:rsidRPr="0065366B">
        <w:rPr>
          <w:rFonts w:ascii="Bookman Old Style" w:hAnsi="Bookman Old Style" w:cs="Arial"/>
          <w:color w:val="000000"/>
        </w:rPr>
        <w:t xml:space="preserve">Cr </w:t>
      </w:r>
      <w:r w:rsidR="00E82008" w:rsidRPr="0065366B">
        <w:rPr>
          <w:rFonts w:ascii="Bookman Old Style" w:hAnsi="Bookman Old Style" w:cs="Arial"/>
          <w:color w:val="000000"/>
        </w:rPr>
        <w:t xml:space="preserve">in </w:t>
      </w:r>
      <w:r w:rsidR="006A4055">
        <w:rPr>
          <w:rFonts w:ascii="Bookman Old Style" w:hAnsi="Bookman Old Style" w:cs="Arial"/>
          <w:color w:val="000000"/>
        </w:rPr>
        <w:t>March-</w:t>
      </w:r>
      <w:proofErr w:type="gramStart"/>
      <w:r w:rsidR="006A4055">
        <w:rPr>
          <w:rFonts w:ascii="Bookman Old Style" w:hAnsi="Bookman Old Style" w:cs="Arial"/>
          <w:color w:val="000000"/>
        </w:rPr>
        <w:t>2022</w:t>
      </w:r>
      <w:r w:rsidR="00874859">
        <w:rPr>
          <w:rFonts w:ascii="Bookman Old Style" w:hAnsi="Bookman Old Style" w:cs="Arial"/>
          <w:color w:val="000000"/>
        </w:rPr>
        <w:t>,</w:t>
      </w:r>
      <w:r w:rsidRPr="0065366B">
        <w:rPr>
          <w:rFonts w:ascii="Bookman Old Style" w:hAnsi="Bookman Old Style" w:cs="Arial"/>
        </w:rPr>
        <w:t>with</w:t>
      </w:r>
      <w:proofErr w:type="gramEnd"/>
      <w:r w:rsidRPr="0065366B">
        <w:rPr>
          <w:rFonts w:ascii="Bookman Old Style" w:hAnsi="Bookman Old Style" w:cs="Arial"/>
        </w:rPr>
        <w:t xml:space="preserve"> </w:t>
      </w:r>
      <w:r w:rsidR="00C97FBC" w:rsidRPr="0065366B">
        <w:rPr>
          <w:rFonts w:ascii="Bookman Old Style" w:hAnsi="Bookman Old Style" w:cs="Arial"/>
        </w:rPr>
        <w:t>a growth</w:t>
      </w:r>
      <w:r w:rsidR="00577A48" w:rsidRPr="0065366B">
        <w:rPr>
          <w:rFonts w:ascii="Bookman Old Style" w:hAnsi="Bookman Old Style" w:cs="Arial"/>
        </w:rPr>
        <w:t xml:space="preserve"> of</w:t>
      </w:r>
      <w:r w:rsidR="00874859">
        <w:rPr>
          <w:rFonts w:ascii="Bookman Old Style" w:hAnsi="Bookman Old Style" w:cs="Arial"/>
        </w:rPr>
        <w:t xml:space="preserve"> </w:t>
      </w:r>
      <w:r w:rsidR="00FF71E8" w:rsidRPr="0065366B">
        <w:rPr>
          <w:rFonts w:ascii="Bookman Old Style" w:hAnsi="Arial" w:cs="Arial"/>
        </w:rPr>
        <w:t>₹</w:t>
      </w:r>
      <w:r w:rsidR="008F23DD">
        <w:rPr>
          <w:rFonts w:ascii="Bookman Old Style" w:hAnsi="Arial" w:cs="Arial"/>
        </w:rPr>
        <w:t>.2024.70</w:t>
      </w:r>
      <w:r w:rsidR="00E82008" w:rsidRPr="0065366B">
        <w:rPr>
          <w:rFonts w:ascii="Bookman Old Style" w:hAnsi="Bookman Old Style" w:cs="Arial"/>
        </w:rPr>
        <w:t>Cr</w:t>
      </w:r>
      <w:r w:rsidR="00417DF8" w:rsidRPr="0065366B">
        <w:rPr>
          <w:rFonts w:ascii="Bookman Old Style" w:hAnsi="Bookman Old Style" w:cs="Arial"/>
        </w:rPr>
        <w:t xml:space="preserve"> (</w:t>
      </w:r>
      <w:r w:rsidRPr="0065366B">
        <w:rPr>
          <w:rFonts w:ascii="Bookman Old Style" w:hAnsi="Bookman Old Style" w:cs="Arial"/>
        </w:rPr>
        <w:t xml:space="preserve">Bank-wise position is shown </w:t>
      </w:r>
      <w:r w:rsidRPr="0065366B">
        <w:rPr>
          <w:rFonts w:ascii="Bookman Old Style" w:hAnsi="Bookman Old Style" w:cs="Arial"/>
          <w:highlight w:val="yellow"/>
        </w:rPr>
        <w:t>in page no.</w:t>
      </w:r>
      <w:r w:rsidR="00CB6621" w:rsidRPr="0065366B">
        <w:rPr>
          <w:rFonts w:ascii="Bookman Old Style" w:hAnsi="Bookman Old Style" w:cs="Arial"/>
          <w:highlight w:val="yellow"/>
        </w:rPr>
        <w:t>1</w:t>
      </w:r>
      <w:r w:rsidR="009F2594" w:rsidRPr="0065366B">
        <w:rPr>
          <w:rFonts w:ascii="Bookman Old Style" w:hAnsi="Bookman Old Style" w:cs="Arial"/>
          <w:highlight w:val="yellow"/>
        </w:rPr>
        <w:t>5</w:t>
      </w:r>
      <w:r w:rsidRPr="0065366B">
        <w:rPr>
          <w:rFonts w:ascii="Bookman Old Style" w:hAnsi="Bookman Old Style" w:cs="Arial"/>
          <w:highlight w:val="yellow"/>
        </w:rPr>
        <w:t>.</w:t>
      </w:r>
      <w:r w:rsidR="00265AC8" w:rsidRPr="0065366B">
        <w:rPr>
          <w:rFonts w:ascii="Bookman Old Style" w:hAnsi="Bookman Old Style" w:cs="Arial"/>
        </w:rPr>
        <w:t xml:space="preserve"> The CD ratio </w:t>
      </w:r>
      <w:r w:rsidR="00A36D7E" w:rsidRPr="0065366B">
        <w:rPr>
          <w:rFonts w:ascii="Bookman Old Style" w:hAnsi="Bookman Old Style" w:cs="Arial"/>
        </w:rPr>
        <w:t>at the end of</w:t>
      </w:r>
      <w:r w:rsidR="006A4055">
        <w:rPr>
          <w:rFonts w:ascii="Bookman Old Style" w:hAnsi="Bookman Old Style" w:cs="Arial"/>
        </w:rPr>
        <w:t xml:space="preserve"> March 2023</w:t>
      </w:r>
      <w:r w:rsidR="00C97FBC" w:rsidRPr="0065366B">
        <w:rPr>
          <w:rFonts w:ascii="Bookman Old Style" w:hAnsi="Bookman Old Style" w:cs="Arial"/>
        </w:rPr>
        <w:t xml:space="preserve"> is</w:t>
      </w:r>
      <w:r w:rsidR="00874859">
        <w:rPr>
          <w:rFonts w:ascii="Bookman Old Style" w:hAnsi="Bookman Old Style" w:cs="Arial"/>
        </w:rPr>
        <w:t xml:space="preserve"> </w:t>
      </w:r>
      <w:r w:rsidR="0071329F" w:rsidRPr="0065366B">
        <w:rPr>
          <w:rFonts w:ascii="Bookman Old Style" w:hAnsi="Bookman Old Style" w:cs="Arial"/>
        </w:rPr>
        <w:t>45.</w:t>
      </w:r>
      <w:r w:rsidR="006A4055">
        <w:rPr>
          <w:rFonts w:ascii="Bookman Old Style" w:hAnsi="Bookman Old Style" w:cs="Arial"/>
        </w:rPr>
        <w:t>82</w:t>
      </w:r>
      <w:r w:rsidR="007261FD" w:rsidRPr="0065366B">
        <w:rPr>
          <w:rFonts w:ascii="Bookman Old Style" w:hAnsi="Bookman Old Style" w:cs="Arial"/>
        </w:rPr>
        <w:t xml:space="preserve">% </w:t>
      </w:r>
      <w:r w:rsidR="0071329F" w:rsidRPr="0065366B">
        <w:rPr>
          <w:rFonts w:ascii="Bookman Old Style" w:hAnsi="Bookman Old Style" w:cs="Arial"/>
        </w:rPr>
        <w:t>against the CD ratio of 4</w:t>
      </w:r>
      <w:r w:rsidR="006A4055">
        <w:rPr>
          <w:rFonts w:ascii="Bookman Old Style" w:hAnsi="Bookman Old Style" w:cs="Arial"/>
        </w:rPr>
        <w:t>1.92%</w:t>
      </w:r>
      <w:r w:rsidR="0071329F" w:rsidRPr="0065366B">
        <w:rPr>
          <w:rFonts w:ascii="Bookman Old Style" w:hAnsi="Bookman Old Style" w:cs="Arial"/>
        </w:rPr>
        <w:t xml:space="preserve"> in </w:t>
      </w:r>
      <w:r w:rsidR="006A4055">
        <w:rPr>
          <w:rFonts w:ascii="Bookman Old Style" w:hAnsi="Bookman Old Style" w:cs="Arial"/>
        </w:rPr>
        <w:t>March 2022</w:t>
      </w:r>
      <w:r w:rsidR="0071329F" w:rsidRPr="0065366B">
        <w:rPr>
          <w:rFonts w:ascii="Bookman Old Style" w:hAnsi="Bookman Old Style" w:cs="Arial"/>
        </w:rPr>
        <w:t>.</w:t>
      </w:r>
    </w:p>
    <w:p w14:paraId="0ED09832" w14:textId="77777777" w:rsidR="007261FD" w:rsidRPr="0065366B" w:rsidRDefault="007261FD" w:rsidP="007261FD">
      <w:pPr>
        <w:jc w:val="both"/>
        <w:rPr>
          <w:rFonts w:ascii="Bookman Old Style" w:hAnsi="Bookman Old Style" w:cs="Arial"/>
        </w:rPr>
      </w:pPr>
    </w:p>
    <w:p w14:paraId="7610B6E7" w14:textId="77777777" w:rsidR="007B4F1A" w:rsidRDefault="007B4F1A" w:rsidP="00EF1190">
      <w:pPr>
        <w:pStyle w:val="NoSpacing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736B5D0D" w14:textId="6B0D3E02" w:rsidR="00D62753" w:rsidRPr="0065366B" w:rsidRDefault="00D62753" w:rsidP="00EF1190">
      <w:pPr>
        <w:pStyle w:val="NoSpacing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Comparati</w:t>
      </w:r>
      <w:r w:rsidR="00C8258A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ve position is as under: (Amt.</w:t>
      </w: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in Crores)</w:t>
      </w:r>
    </w:p>
    <w:p w14:paraId="78DD9FF9" w14:textId="77777777" w:rsidR="00EF1190" w:rsidRPr="0065366B" w:rsidRDefault="00EF1190" w:rsidP="00EF1190">
      <w:pPr>
        <w:pStyle w:val="NoSpacing"/>
        <w:rPr>
          <w:rFonts w:ascii="Bookman Old Style" w:hAnsi="Bookman Old Style" w:cs="Arial"/>
          <w:sz w:val="24"/>
          <w:szCs w:val="24"/>
        </w:rPr>
      </w:pPr>
    </w:p>
    <w:tbl>
      <w:tblPr>
        <w:tblW w:w="10435" w:type="dxa"/>
        <w:tblLayout w:type="fixed"/>
        <w:tblLook w:val="0000" w:firstRow="0" w:lastRow="0" w:firstColumn="0" w:lastColumn="0" w:noHBand="0" w:noVBand="0"/>
      </w:tblPr>
      <w:tblGrid>
        <w:gridCol w:w="4585"/>
        <w:gridCol w:w="2160"/>
        <w:gridCol w:w="1980"/>
        <w:gridCol w:w="1710"/>
      </w:tblGrid>
      <w:tr w:rsidR="00EB5F70" w:rsidRPr="0065366B" w14:paraId="14497E55" w14:textId="77777777" w:rsidTr="00107A16">
        <w:trPr>
          <w:trHeight w:val="146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F1528" w14:textId="77777777" w:rsidR="00EB5F70" w:rsidRPr="0065366B" w:rsidRDefault="00EB5F70" w:rsidP="00EF1190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Financial Year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B898F" w14:textId="77777777" w:rsidR="00EB5F70" w:rsidRPr="0065366B" w:rsidRDefault="00EB5F70" w:rsidP="00EF1190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Deposits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8E73F" w14:textId="77777777" w:rsidR="00EB5F70" w:rsidRPr="0065366B" w:rsidRDefault="00EB5F70" w:rsidP="00EF1190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Advances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53D8" w14:textId="77777777" w:rsidR="00EB5F70" w:rsidRPr="0065366B" w:rsidRDefault="00EB5F70" w:rsidP="00EF1190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CD Ratio</w:t>
            </w:r>
          </w:p>
        </w:tc>
      </w:tr>
      <w:tr w:rsidR="00BD3CB7" w:rsidRPr="0065366B" w14:paraId="79FD1FA5" w14:textId="77777777" w:rsidTr="00107A16">
        <w:trPr>
          <w:trHeight w:val="79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035E7" w14:textId="71BCADFE" w:rsidR="00BD3CB7" w:rsidRPr="0065366B" w:rsidRDefault="00BD3CB7" w:rsidP="00BD3CB7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March-2022 (FY 2021-22)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0D381" w14:textId="6E6BE4C1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65366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34228.56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EEDFB" w14:textId="3C33B2AE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65366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14347.48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823C" w14:textId="265A8CB6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41.92%</w:t>
            </w:r>
          </w:p>
        </w:tc>
      </w:tr>
      <w:tr w:rsidR="00BD3CB7" w:rsidRPr="0065366B" w14:paraId="59A89681" w14:textId="77777777" w:rsidTr="00107A16">
        <w:trPr>
          <w:trHeight w:val="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F3B3" w14:textId="7AD4F13D" w:rsidR="00BD3CB7" w:rsidRPr="0065366B" w:rsidRDefault="00BD3CB7" w:rsidP="00BD3CB7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bookmarkStart w:id="3" w:name="_Hlk51084031"/>
            <w:r w:rsidRPr="0065366B">
              <w:rPr>
                <w:rFonts w:ascii="Bookman Old Style" w:hAnsi="Bookman Old Style" w:cs="Arial"/>
                <w:sz w:val="24"/>
                <w:szCs w:val="24"/>
              </w:rPr>
              <w:t>June 2022 (FY 2022-23)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167B" w14:textId="5637AA2B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33570.15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061A7" w14:textId="30881AF3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14595.44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EE58A" w14:textId="707EA242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43.48%</w:t>
            </w:r>
          </w:p>
        </w:tc>
      </w:tr>
      <w:tr w:rsidR="00BD3CB7" w:rsidRPr="0065366B" w14:paraId="20E3D690" w14:textId="77777777" w:rsidTr="00107A16">
        <w:trPr>
          <w:trHeight w:val="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2B59F" w14:textId="4523B0D7" w:rsidR="00BD3CB7" w:rsidRPr="0065366B" w:rsidRDefault="00BD3CB7" w:rsidP="00BD3CB7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September 2022 (FY 2022-23)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E57AD" w14:textId="0544137B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33834.68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4332" w14:textId="1FAC1453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15121.67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833F" w14:textId="2794884C" w:rsidR="00BD3CB7" w:rsidRPr="0065366B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44.69%</w:t>
            </w:r>
          </w:p>
        </w:tc>
      </w:tr>
      <w:tr w:rsidR="00BD3CB7" w:rsidRPr="0065366B" w14:paraId="2CFF9524" w14:textId="77777777" w:rsidTr="00107A16">
        <w:trPr>
          <w:trHeight w:val="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2183" w14:textId="083DA4C7" w:rsidR="00BD3CB7" w:rsidRPr="0065366B" w:rsidRDefault="00BD3CB7" w:rsidP="00BD3CB7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December 2022 (FY 2022-23)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17834" w14:textId="3FE71F9D" w:rsidR="00BD3CB7" w:rsidRPr="00C7754A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C7754A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33689.18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D4605" w14:textId="20B4A227" w:rsidR="00BD3CB7" w:rsidRPr="00C7754A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C7754A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15391.90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1391" w14:textId="4CBD7D05" w:rsidR="00BD3CB7" w:rsidRPr="00C7754A" w:rsidRDefault="00BD3CB7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C7754A">
              <w:rPr>
                <w:rFonts w:ascii="Bookman Old Style" w:hAnsi="Bookman Old Style" w:cs="Arial"/>
                <w:sz w:val="24"/>
                <w:szCs w:val="24"/>
              </w:rPr>
              <w:t>45.69%</w:t>
            </w:r>
          </w:p>
        </w:tc>
      </w:tr>
      <w:tr w:rsidR="00BD3CB7" w:rsidRPr="0065366B" w14:paraId="54EBA036" w14:textId="77777777" w:rsidTr="00107A16">
        <w:trPr>
          <w:trHeight w:val="70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5C65" w14:textId="3A363313" w:rsidR="00BD3CB7" w:rsidRPr="0065366B" w:rsidRDefault="00BD3CB7" w:rsidP="00BD3CB7">
            <w:pPr>
              <w:pStyle w:val="NoSpacing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lastRenderedPageBreak/>
              <w:t>March-2023 (FY 2022-23)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A721F" w14:textId="6855A3FB" w:rsidR="00BD3CB7" w:rsidRPr="00B11BEE" w:rsidRDefault="00C7754A" w:rsidP="00C7754A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11BEE">
              <w:rPr>
                <w:rFonts w:ascii="Bookman Old Style" w:hAnsi="Bookman Old Style" w:cs="Arial"/>
                <w:color w:val="000000"/>
              </w:rPr>
              <w:t>35729</w:t>
            </w:r>
            <w:r w:rsidR="007B1CB6" w:rsidRPr="00B11BEE">
              <w:rPr>
                <w:rFonts w:ascii="Bookman Old Style" w:hAnsi="Bookman Old Style" w:cs="Arial"/>
                <w:color w:val="000000"/>
              </w:rPr>
              <w:t>.</w:t>
            </w:r>
            <w:r w:rsidRPr="00B11BEE">
              <w:rPr>
                <w:rFonts w:ascii="Bookman Old Style" w:hAnsi="Bookman Old Style" w:cs="Arial"/>
                <w:color w:val="000000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8EA86" w14:textId="62606FEF" w:rsidR="00BD3CB7" w:rsidRPr="00B11BEE" w:rsidRDefault="007B1CB6" w:rsidP="007B1CB6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11BEE">
              <w:rPr>
                <w:rFonts w:ascii="Bookman Old Style" w:hAnsi="Bookman Old Style" w:cs="Arial"/>
                <w:color w:val="000000"/>
              </w:rPr>
              <w:t>16372</w:t>
            </w:r>
            <w:r w:rsidR="0096647D" w:rsidRPr="00B11BEE">
              <w:rPr>
                <w:rFonts w:ascii="Bookman Old Style" w:hAnsi="Bookman Old Style" w:cs="Arial"/>
                <w:color w:val="000000"/>
              </w:rPr>
              <w:t>.</w:t>
            </w:r>
            <w:r w:rsidRPr="00B11BEE">
              <w:rPr>
                <w:rFonts w:ascii="Bookman Old Style" w:hAnsi="Bookman Old Style" w:cs="Arial"/>
                <w:color w:val="000000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F9AA" w14:textId="43A9B78E" w:rsidR="00BD3CB7" w:rsidRPr="00B11BEE" w:rsidRDefault="007B1CB6" w:rsidP="00BD3CB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B11BEE">
              <w:rPr>
                <w:rFonts w:ascii="Bookman Old Style" w:hAnsi="Bookman Old Style" w:cs="Arial"/>
                <w:sz w:val="24"/>
                <w:szCs w:val="24"/>
              </w:rPr>
              <w:t>45.82%</w:t>
            </w:r>
          </w:p>
        </w:tc>
      </w:tr>
      <w:bookmarkEnd w:id="3"/>
    </w:tbl>
    <w:p w14:paraId="6E6E0CF5" w14:textId="77777777" w:rsidR="006E4C25" w:rsidRPr="0065366B" w:rsidRDefault="006E4C25" w:rsidP="00E2123A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0EF40EF0" w14:textId="77777777" w:rsidR="00D62753" w:rsidRPr="0065366B" w:rsidRDefault="00D62753" w:rsidP="00E2123A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Banks with CD ratio </w:t>
      </w:r>
      <w:r w:rsidR="00EA6B90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of </w:t>
      </w: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less than 2</w:t>
      </w:r>
      <w:r w:rsidR="00AB2084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5</w:t>
      </w: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%</w:t>
      </w:r>
    </w:p>
    <w:p w14:paraId="43EDD172" w14:textId="77777777" w:rsidR="00D05345" w:rsidRPr="0065366B" w:rsidRDefault="00D05345" w:rsidP="00E2123A">
      <w:pPr>
        <w:pStyle w:val="NoSpacing"/>
        <w:jc w:val="both"/>
        <w:rPr>
          <w:rFonts w:ascii="Bookman Old Style" w:hAnsi="Bookman Old Style" w:cs="Arial"/>
          <w:b/>
          <w:sz w:val="24"/>
          <w:szCs w:val="24"/>
        </w:rPr>
      </w:pPr>
    </w:p>
    <w:p w14:paraId="1588EE77" w14:textId="325A2D65" w:rsidR="00D62753" w:rsidRPr="0065366B" w:rsidRDefault="00280A47" w:rsidP="00E2123A">
      <w:pPr>
        <w:pStyle w:val="NoSpacing"/>
        <w:jc w:val="both"/>
        <w:rPr>
          <w:rFonts w:ascii="Bookman Old Style" w:hAnsi="Bookman Old Style" w:cs="Arial"/>
          <w:b/>
          <w:sz w:val="24"/>
          <w:szCs w:val="24"/>
        </w:rPr>
      </w:pPr>
      <w:r w:rsidRPr="001157F1">
        <w:rPr>
          <w:rFonts w:ascii="Bookman Old Style" w:hAnsi="Bookman Old Style" w:cs="Arial"/>
          <w:bCs/>
          <w:sz w:val="24"/>
          <w:szCs w:val="24"/>
        </w:rPr>
        <w:t>As on 31.</w:t>
      </w:r>
      <w:r w:rsidR="0096647D" w:rsidRPr="001157F1">
        <w:rPr>
          <w:rFonts w:ascii="Bookman Old Style" w:hAnsi="Bookman Old Style" w:cs="Arial"/>
          <w:bCs/>
          <w:sz w:val="24"/>
          <w:szCs w:val="24"/>
        </w:rPr>
        <w:t>03.2023</w:t>
      </w:r>
      <w:r w:rsidRPr="001157F1">
        <w:rPr>
          <w:rFonts w:ascii="Bookman Old Style" w:hAnsi="Bookman Old Style" w:cs="Arial"/>
          <w:bCs/>
          <w:sz w:val="24"/>
          <w:szCs w:val="24"/>
        </w:rPr>
        <w:t xml:space="preserve"> there are </w:t>
      </w:r>
      <w:r w:rsidR="00665723" w:rsidRPr="001157F1">
        <w:rPr>
          <w:rFonts w:ascii="Bookman Old Style" w:hAnsi="Bookman Old Style" w:cs="Arial"/>
          <w:bCs/>
          <w:sz w:val="24"/>
          <w:szCs w:val="24"/>
        </w:rPr>
        <w:t>six</w:t>
      </w:r>
      <w:r w:rsidR="005F1144" w:rsidRPr="001157F1">
        <w:rPr>
          <w:rFonts w:ascii="Bookman Old Style" w:hAnsi="Bookman Old Style" w:cs="Arial"/>
          <w:bCs/>
          <w:sz w:val="24"/>
          <w:szCs w:val="24"/>
        </w:rPr>
        <w:t xml:space="preserve"> Banks with less than 25% CD ratio.</w:t>
      </w:r>
      <w:r w:rsidR="005F1144" w:rsidRPr="0065366B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83EB4" w:rsidRPr="0065366B">
        <w:rPr>
          <w:rFonts w:ascii="Bookman Old Style" w:hAnsi="Bookman Old Style" w:cs="Arial"/>
          <w:bCs/>
          <w:sz w:val="24"/>
          <w:szCs w:val="24"/>
        </w:rPr>
        <w:t xml:space="preserve"> These banks are </w:t>
      </w:r>
      <w:proofErr w:type="spellStart"/>
      <w:r w:rsidR="00B83EB4" w:rsidRPr="0065366B">
        <w:rPr>
          <w:rFonts w:ascii="Bookman Old Style" w:hAnsi="Bookman Old Style" w:cs="Arial"/>
          <w:bCs/>
          <w:sz w:val="24"/>
          <w:szCs w:val="24"/>
        </w:rPr>
        <w:t>summerised</w:t>
      </w:r>
      <w:proofErr w:type="spellEnd"/>
      <w:r w:rsidR="00B83EB4" w:rsidRPr="0065366B">
        <w:rPr>
          <w:rFonts w:ascii="Bookman Old Style" w:hAnsi="Bookman Old Style" w:cs="Arial"/>
          <w:bCs/>
          <w:sz w:val="24"/>
          <w:szCs w:val="24"/>
        </w:rPr>
        <w:t xml:space="preserve"> below</w:t>
      </w:r>
    </w:p>
    <w:p w14:paraId="4130FBDC" w14:textId="77777777" w:rsidR="00D70AA1" w:rsidRPr="0065366B" w:rsidRDefault="00D70AA1" w:rsidP="00E2123A">
      <w:pPr>
        <w:pStyle w:val="NoSpacing"/>
        <w:jc w:val="both"/>
        <w:rPr>
          <w:rFonts w:ascii="Bookman Old Style" w:hAnsi="Bookman Old Style" w:cs="Arial"/>
          <w:b/>
          <w:sz w:val="24"/>
          <w:szCs w:val="24"/>
        </w:rPr>
      </w:pPr>
    </w:p>
    <w:tbl>
      <w:tblPr>
        <w:tblW w:w="109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891"/>
        <w:gridCol w:w="1530"/>
        <w:gridCol w:w="5332"/>
        <w:gridCol w:w="1670"/>
      </w:tblGrid>
      <w:tr w:rsidR="00A61E49" w:rsidRPr="0065366B" w14:paraId="2383720E" w14:textId="77777777" w:rsidTr="00517661">
        <w:trPr>
          <w:trHeight w:val="1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AFC58" w14:textId="77777777" w:rsidR="00A61E49" w:rsidRPr="0065366B" w:rsidRDefault="00A61E49" w:rsidP="00E2123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bookmarkStart w:id="4" w:name="_Hlk63349650"/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Sl</w:t>
            </w:r>
            <w:r w:rsidR="00E2123A"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F7224" w14:textId="77777777" w:rsidR="00A61E49" w:rsidRPr="0065366B" w:rsidRDefault="00A61E49" w:rsidP="00E2123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Bank Name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AB56E" w14:textId="393FC96B" w:rsidR="00A61E49" w:rsidRPr="0065366B" w:rsidRDefault="00673B5E" w:rsidP="009018C1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December 2022 (%)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0F1B72" w14:textId="77777777" w:rsidR="00A61E49" w:rsidRPr="0065366B" w:rsidRDefault="00540849" w:rsidP="00E2123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  <w:highlight w:val="yellow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Remarks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C021" w14:textId="7EA324DD" w:rsidR="00A61E49" w:rsidRPr="0065366B" w:rsidRDefault="00673B5E" w:rsidP="009018C1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March 2023 (%)</w:t>
            </w:r>
          </w:p>
        </w:tc>
      </w:tr>
      <w:tr w:rsidR="00A5377F" w:rsidRPr="007A7BED" w14:paraId="3689BAD1" w14:textId="77777777" w:rsidTr="00517661">
        <w:trPr>
          <w:trHeight w:val="19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422E" w14:textId="77777777" w:rsidR="00A5377F" w:rsidRPr="007A7BED" w:rsidRDefault="00EB0984" w:rsidP="00B83EB4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68FF1" w14:textId="77777777" w:rsidR="00A5377F" w:rsidRPr="007A7BED" w:rsidRDefault="00A5377F" w:rsidP="007814B7">
            <w:pPr>
              <w:pStyle w:val="NoSpacing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Janata Small Finance Bank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CD0FE" w14:textId="77777777" w:rsidR="00A5377F" w:rsidRPr="007A7BED" w:rsidRDefault="00A5377F" w:rsidP="009018C1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5A5BD7" w14:textId="2C8F9DD1" w:rsidR="00A5377F" w:rsidRPr="007A7BED" w:rsidRDefault="00540849" w:rsidP="00E2123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One new branch</w:t>
            </w:r>
            <w:r w:rsidR="00665723" w:rsidRPr="007A7BED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6B54FF" w:rsidRPr="007A7BED">
              <w:rPr>
                <w:rFonts w:ascii="Bookman Old Style" w:hAnsi="Bookman Old Style" w:cs="Arial"/>
                <w:sz w:val="24"/>
                <w:szCs w:val="24"/>
              </w:rPr>
              <w:t>opened with</w:t>
            </w:r>
            <w:r w:rsidR="00665723" w:rsidRPr="007A7BED">
              <w:rPr>
                <w:rFonts w:ascii="Bookman Old Style" w:hAnsi="Bookman Old Style" w:cs="Arial"/>
                <w:sz w:val="24"/>
                <w:szCs w:val="24"/>
              </w:rPr>
              <w:t xml:space="preserve"> no loan</w:t>
            </w:r>
            <w:r w:rsidRPr="007A7BED">
              <w:rPr>
                <w:rFonts w:ascii="Bookman Old Style" w:hAnsi="Bookman Old Style" w:cs="Arial"/>
                <w:sz w:val="24"/>
                <w:szCs w:val="24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3074" w14:textId="77777777" w:rsidR="00A5377F" w:rsidRPr="007A7BED" w:rsidRDefault="00A5377F" w:rsidP="009018C1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0</w:t>
            </w:r>
          </w:p>
        </w:tc>
      </w:tr>
      <w:tr w:rsidR="001C4925" w:rsidRPr="007A7BED" w14:paraId="32E064FD" w14:textId="77777777" w:rsidTr="0051766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0B453" w14:textId="77777777" w:rsidR="001C4925" w:rsidRPr="007A7BED" w:rsidRDefault="00EB0984" w:rsidP="00B83EB4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2AA2B" w14:textId="6D80C6F9" w:rsidR="001C4925" w:rsidRPr="007A7BED" w:rsidRDefault="00673B5E" w:rsidP="00E15C10">
            <w:r w:rsidRPr="007A7BED">
              <w:t>South Indian Bank (SIB)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7218A" w14:textId="3F417A00" w:rsidR="001C4925" w:rsidRPr="007A7BED" w:rsidRDefault="00A25071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6.51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E96E1" w14:textId="1BFA818C" w:rsidR="001C4925" w:rsidRPr="007A7BED" w:rsidRDefault="00FE6997" w:rsidP="00E2123A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Submitted the ATR compliance but no improvement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F175F" w14:textId="7943F601" w:rsidR="001C4925" w:rsidRPr="007A7BED" w:rsidRDefault="00A25071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6.28</w:t>
            </w:r>
          </w:p>
        </w:tc>
      </w:tr>
      <w:tr w:rsidR="00DE66EF" w:rsidRPr="007A7BED" w14:paraId="05986E9E" w14:textId="77777777" w:rsidTr="0051766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4B758" w14:textId="59B19DF4" w:rsidR="00DE66EF" w:rsidRPr="007A7BED" w:rsidRDefault="00E15C10" w:rsidP="00B83EB4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A7E23" w14:textId="545CEF81" w:rsidR="00DE66EF" w:rsidRPr="007A7BED" w:rsidRDefault="00DE66EF" w:rsidP="00E2123A">
            <w:pPr>
              <w:pStyle w:val="NoSpacing"/>
              <w:spacing w:line="48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IDFC Bank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5F661" w14:textId="18455040" w:rsidR="00DE66EF" w:rsidRPr="007A7BED" w:rsidRDefault="00DE66EF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20.67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D636" w14:textId="5944136F" w:rsidR="00DE66EF" w:rsidRPr="007A7BED" w:rsidRDefault="00DE66EF" w:rsidP="00E2123A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Submitted action taken Report and strategies to extend more loans particularly in Priority Sector advances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B898C" w14:textId="34282AD4" w:rsidR="00DE66EF" w:rsidRPr="007A7BED" w:rsidRDefault="00DE66EF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19.19</w:t>
            </w:r>
          </w:p>
        </w:tc>
      </w:tr>
      <w:tr w:rsidR="006B54FF" w:rsidRPr="007A7BED" w14:paraId="48B9B84D" w14:textId="77777777" w:rsidTr="0051766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E4B2F" w14:textId="0E058803" w:rsidR="006B54FF" w:rsidRPr="007A7BED" w:rsidRDefault="00E15C10" w:rsidP="00B83EB4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6F8FA" w14:textId="4CDE07CC" w:rsidR="006B54FF" w:rsidRPr="007A7BED" w:rsidRDefault="006B54FF" w:rsidP="00E2123A">
            <w:pPr>
              <w:pStyle w:val="NoSpacing"/>
              <w:spacing w:line="48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Indian bank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83C9" w14:textId="47698AED" w:rsidR="006B54FF" w:rsidRPr="007A7BED" w:rsidRDefault="00D10122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37.48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E7E41" w14:textId="39909262" w:rsidR="006B54FF" w:rsidRPr="007A7BED" w:rsidRDefault="00D10122" w:rsidP="00E2123A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CD ratio is less than 25% for the first time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E3AFB" w14:textId="4F1FBE03" w:rsidR="006B54FF" w:rsidRPr="007A7BED" w:rsidRDefault="006B54FF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20.46</w:t>
            </w:r>
          </w:p>
        </w:tc>
      </w:tr>
      <w:tr w:rsidR="006B54FF" w:rsidRPr="007A7BED" w14:paraId="6B2A3BF0" w14:textId="77777777" w:rsidTr="0051766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7AF88" w14:textId="053FA3ED" w:rsidR="006B54FF" w:rsidRPr="007A7BED" w:rsidRDefault="00E15C10" w:rsidP="00B83EB4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5B00D" w14:textId="4FB0D359" w:rsidR="006B54FF" w:rsidRPr="007A7BED" w:rsidRDefault="008D7570" w:rsidP="00E2123A">
            <w:pPr>
              <w:pStyle w:val="NoSpacing"/>
              <w:spacing w:line="48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Axis Bank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FC3AC" w14:textId="79D37A72" w:rsidR="006B54FF" w:rsidRPr="007A7BED" w:rsidRDefault="008D7570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22.72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269AF" w14:textId="4F5B91AA" w:rsidR="006B54FF" w:rsidRPr="007A7BED" w:rsidRDefault="008D7570" w:rsidP="00E2123A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Submitted action taken Report and strategies to extend more loans particularly in Priority Sector advances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D545E" w14:textId="3B0CBAE1" w:rsidR="006B54FF" w:rsidRPr="007A7BED" w:rsidRDefault="008D7570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20.75</w:t>
            </w:r>
          </w:p>
        </w:tc>
      </w:tr>
      <w:tr w:rsidR="006B54FF" w:rsidRPr="007A7BED" w14:paraId="69101D09" w14:textId="77777777" w:rsidTr="0051766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D5BEA" w14:textId="75805D7D" w:rsidR="006B54FF" w:rsidRPr="007A7BED" w:rsidRDefault="00E15C10" w:rsidP="00B83EB4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6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BD9DA" w14:textId="3F53BE28" w:rsidR="006B54FF" w:rsidRPr="007A7BED" w:rsidRDefault="00E15C10" w:rsidP="00E2123A">
            <w:pPr>
              <w:pStyle w:val="NoSpacing"/>
              <w:spacing w:line="48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UNION Bank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162B9" w14:textId="72DBA5A6" w:rsidR="006B54FF" w:rsidRPr="007A7BED" w:rsidRDefault="00E15C10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21.72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4DF0" w14:textId="35AD8F75" w:rsidR="006B54FF" w:rsidRPr="007A7BED" w:rsidRDefault="00E208F6" w:rsidP="00E2123A">
            <w:pPr>
              <w:pStyle w:val="NoSpacing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Submitted action taken Report and strategies to extend more loans particularly in Priority Sector advances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BDE68" w14:textId="11392E4B" w:rsidR="006B54FF" w:rsidRPr="007A7BED" w:rsidRDefault="00E15C10" w:rsidP="00E2123A">
            <w:pPr>
              <w:pStyle w:val="NoSpacing"/>
              <w:spacing w:line="480" w:lineRule="auto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7A7BED">
              <w:rPr>
                <w:rFonts w:ascii="Bookman Old Style" w:hAnsi="Bookman Old Style" w:cs="Arial"/>
                <w:sz w:val="24"/>
                <w:szCs w:val="24"/>
              </w:rPr>
              <w:t>20.91</w:t>
            </w:r>
          </w:p>
        </w:tc>
      </w:tr>
      <w:bookmarkEnd w:id="4"/>
    </w:tbl>
    <w:p w14:paraId="5802E315" w14:textId="77777777" w:rsidR="00B83EB4" w:rsidRPr="007A7BED" w:rsidRDefault="00B83EB4" w:rsidP="00AA1C24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7F723138" w14:textId="77777777" w:rsidR="00AA1C24" w:rsidRPr="0065366B" w:rsidRDefault="00AA1C24" w:rsidP="00AA1C24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7A7BED">
        <w:rPr>
          <w:rFonts w:ascii="Bookman Old Style" w:hAnsi="Bookman Old Style" w:cs="Arial"/>
          <w:b/>
          <w:bCs/>
          <w:sz w:val="24"/>
          <w:szCs w:val="24"/>
          <w:u w:val="single"/>
        </w:rPr>
        <w:t>CD Ratio-Review of District with less than 40% and Working of Special Sub-Committee of DCC</w:t>
      </w:r>
    </w:p>
    <w:p w14:paraId="5AD729AD" w14:textId="77777777" w:rsidR="00AA1C24" w:rsidRPr="0065366B" w:rsidRDefault="00AA1C24" w:rsidP="00AA1C24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0B66C744" w14:textId="0230A4F5" w:rsidR="00D91629" w:rsidRPr="0065366B" w:rsidRDefault="006A63BD" w:rsidP="00AA1C24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  <w:r w:rsidRPr="0065366B">
        <w:rPr>
          <w:rFonts w:ascii="Bookman Old Style" w:hAnsi="Bookman Old Style" w:cs="Arial"/>
          <w:sz w:val="24"/>
          <w:szCs w:val="24"/>
        </w:rPr>
        <w:t xml:space="preserve">Five districts in the State with less than 40% CD ratio are </w:t>
      </w:r>
      <w:r w:rsidR="00B74225" w:rsidRPr="0065366B">
        <w:rPr>
          <w:rFonts w:ascii="Bookman Old Style" w:hAnsi="Bookman Old Style" w:cs="Arial"/>
          <w:sz w:val="24"/>
          <w:szCs w:val="24"/>
        </w:rPr>
        <w:t xml:space="preserve">East </w:t>
      </w:r>
      <w:proofErr w:type="spellStart"/>
      <w:r w:rsidR="00B74225" w:rsidRPr="0065366B">
        <w:rPr>
          <w:rFonts w:ascii="Bookman Old Style" w:hAnsi="Bookman Old Style" w:cs="Arial"/>
          <w:sz w:val="24"/>
          <w:szCs w:val="24"/>
        </w:rPr>
        <w:t>Jaintia</w:t>
      </w:r>
      <w:proofErr w:type="spellEnd"/>
      <w:r w:rsidR="00B74225" w:rsidRPr="0065366B">
        <w:rPr>
          <w:rFonts w:ascii="Bookman Old Style" w:hAnsi="Bookman Old Style" w:cs="Arial"/>
          <w:sz w:val="24"/>
          <w:szCs w:val="24"/>
        </w:rPr>
        <w:t xml:space="preserve">, West </w:t>
      </w:r>
      <w:proofErr w:type="spellStart"/>
      <w:r w:rsidR="00B74225" w:rsidRPr="0065366B">
        <w:rPr>
          <w:rFonts w:ascii="Bookman Old Style" w:hAnsi="Bookman Old Style" w:cs="Arial"/>
          <w:sz w:val="24"/>
          <w:szCs w:val="24"/>
        </w:rPr>
        <w:t>Jaintia</w:t>
      </w:r>
      <w:proofErr w:type="spellEnd"/>
      <w:r w:rsidRPr="0065366B">
        <w:rPr>
          <w:rFonts w:ascii="Bookman Old Style" w:hAnsi="Bookman Old Style" w:cs="Arial"/>
          <w:sz w:val="24"/>
          <w:szCs w:val="24"/>
        </w:rPr>
        <w:t>, South West Khasi, Eastern West Khasi Hills</w:t>
      </w:r>
      <w:r w:rsidR="00B74225" w:rsidRPr="0065366B">
        <w:rPr>
          <w:rFonts w:ascii="Bookman Old Style" w:hAnsi="Bookman Old Style" w:cs="Arial"/>
          <w:sz w:val="24"/>
          <w:szCs w:val="24"/>
        </w:rPr>
        <w:t>&amp; West Khasi Hills</w:t>
      </w:r>
      <w:r w:rsidRPr="0065366B">
        <w:rPr>
          <w:rFonts w:ascii="Bookman Old Style" w:hAnsi="Bookman Old Style" w:cs="Arial"/>
          <w:sz w:val="24"/>
          <w:szCs w:val="24"/>
        </w:rPr>
        <w:t xml:space="preserve"> as on 31.</w:t>
      </w:r>
      <w:r w:rsidR="00517661">
        <w:rPr>
          <w:rFonts w:ascii="Bookman Old Style" w:hAnsi="Bookman Old Style" w:cs="Arial"/>
          <w:sz w:val="24"/>
          <w:szCs w:val="24"/>
        </w:rPr>
        <w:t>03.2023</w:t>
      </w:r>
      <w:r w:rsidRPr="0065366B">
        <w:rPr>
          <w:rFonts w:ascii="Bookman Old Style" w:hAnsi="Bookman Old Style" w:cs="Arial"/>
          <w:sz w:val="24"/>
          <w:szCs w:val="24"/>
        </w:rPr>
        <w:t xml:space="preserve">. </w:t>
      </w:r>
      <w:r w:rsidR="00D91629" w:rsidRPr="0065366B">
        <w:rPr>
          <w:rFonts w:ascii="Bookman Old Style" w:hAnsi="Bookman Old Style" w:cs="Arial"/>
          <w:sz w:val="24"/>
          <w:szCs w:val="24"/>
        </w:rPr>
        <w:t>The area specific issues</w:t>
      </w:r>
      <w:r w:rsidR="003B1185" w:rsidRPr="0065366B">
        <w:rPr>
          <w:rFonts w:ascii="Bookman Old Style" w:hAnsi="Bookman Old Style" w:cs="Arial"/>
          <w:sz w:val="24"/>
          <w:szCs w:val="24"/>
        </w:rPr>
        <w:t xml:space="preserve"> should be discussed</w:t>
      </w:r>
      <w:r w:rsidR="00D91629" w:rsidRPr="0065366B">
        <w:rPr>
          <w:rFonts w:ascii="Bookman Old Style" w:hAnsi="Bookman Old Style" w:cs="Arial"/>
          <w:sz w:val="24"/>
          <w:szCs w:val="24"/>
        </w:rPr>
        <w:t xml:space="preserve"> in the </w:t>
      </w:r>
      <w:r w:rsidR="00D91629" w:rsidRPr="0065366B">
        <w:rPr>
          <w:rFonts w:ascii="Bookman Old Style" w:hAnsi="Bookman Old Style"/>
          <w:sz w:val="24"/>
          <w:szCs w:val="24"/>
        </w:rPr>
        <w:t>District Consultative Committee (DCC) meetings in co-ordination with banks and developmental agencies</w:t>
      </w:r>
      <w:r w:rsidR="00874859">
        <w:rPr>
          <w:rFonts w:ascii="Bookman Old Style" w:hAnsi="Bookman Old Style"/>
          <w:sz w:val="24"/>
          <w:szCs w:val="24"/>
        </w:rPr>
        <w:t xml:space="preserve"> </w:t>
      </w:r>
      <w:r w:rsidR="00D91629" w:rsidRPr="0065366B">
        <w:rPr>
          <w:rFonts w:ascii="Bookman Old Style" w:hAnsi="Bookman Old Style"/>
          <w:sz w:val="24"/>
          <w:szCs w:val="24"/>
        </w:rPr>
        <w:t>for implementation of bankable loans and flagship programs of Government</w:t>
      </w:r>
      <w:r w:rsidR="003B1185" w:rsidRPr="0065366B">
        <w:rPr>
          <w:rFonts w:ascii="Bookman Old Style" w:hAnsi="Bookman Old Style"/>
          <w:sz w:val="24"/>
          <w:szCs w:val="24"/>
        </w:rPr>
        <w:t>.</w:t>
      </w:r>
    </w:p>
    <w:p w14:paraId="00F72106" w14:textId="1F34E96D" w:rsidR="00D91629" w:rsidRDefault="00D91629" w:rsidP="00AA1C24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23BA81D4" w14:textId="2578197B" w:rsidR="00824957" w:rsidRDefault="00D62753" w:rsidP="00E2123A">
      <w:pPr>
        <w:pStyle w:val="NoSpacing"/>
        <w:jc w:val="both"/>
        <w:rPr>
          <w:rFonts w:ascii="Bookman Old Style" w:eastAsia="Gungsuh" w:hAnsi="Bookman Old Style" w:cs="Arial"/>
          <w:b/>
          <w:bCs/>
          <w:sz w:val="24"/>
          <w:szCs w:val="24"/>
          <w:lang w:eastAsia="ar-SA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Priority Sector Advances</w:t>
      </w:r>
      <w:r w:rsidR="00AA4465"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 xml:space="preserve"> as on 3</w:t>
      </w:r>
      <w:r w:rsidR="00252C0C"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1-</w:t>
      </w:r>
      <w:r w:rsidR="00845083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03-2023</w:t>
      </w:r>
      <w:r w:rsidR="00AA4465" w:rsidRPr="0065366B">
        <w:rPr>
          <w:rFonts w:ascii="Bookman Old Style" w:eastAsia="Gungsuh" w:hAnsi="Bookman Old Style" w:cs="Arial"/>
          <w:b/>
          <w:bCs/>
          <w:sz w:val="24"/>
          <w:szCs w:val="24"/>
          <w:lang w:eastAsia="ar-SA"/>
        </w:rPr>
        <w:t>:</w:t>
      </w:r>
    </w:p>
    <w:p w14:paraId="01228C96" w14:textId="77777777" w:rsidR="00C875AA" w:rsidRPr="0065366B" w:rsidRDefault="00C875AA" w:rsidP="00E2123A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136FECAE" w14:textId="6619E654" w:rsidR="00811233" w:rsidRPr="0065366B" w:rsidRDefault="00D62753" w:rsidP="00F25A0C">
      <w:pPr>
        <w:jc w:val="both"/>
        <w:rPr>
          <w:rFonts w:ascii="Bookman Old Style" w:hAnsi="Bookman Old Style" w:cs="Arial"/>
        </w:rPr>
      </w:pPr>
      <w:r w:rsidRPr="0065366B">
        <w:rPr>
          <w:rFonts w:ascii="Bookman Old Style" w:hAnsi="Bookman Old Style" w:cs="Arial"/>
        </w:rPr>
        <w:t xml:space="preserve">The </w:t>
      </w:r>
      <w:r w:rsidR="007E46CF" w:rsidRPr="0065366B">
        <w:rPr>
          <w:rFonts w:ascii="Bookman Old Style" w:hAnsi="Bookman Old Style" w:cs="Arial"/>
        </w:rPr>
        <w:t xml:space="preserve">total </w:t>
      </w:r>
      <w:r w:rsidRPr="0065366B">
        <w:rPr>
          <w:rFonts w:ascii="Bookman Old Style" w:hAnsi="Bookman Old Style" w:cs="Arial"/>
        </w:rPr>
        <w:t xml:space="preserve">Priority Sector Advances </w:t>
      </w:r>
      <w:r w:rsidR="00E92273" w:rsidRPr="0065366B">
        <w:rPr>
          <w:rFonts w:ascii="Bookman Old Style" w:hAnsi="Bookman Old Style" w:cs="Arial"/>
        </w:rPr>
        <w:t xml:space="preserve">is </w:t>
      </w:r>
      <w:r w:rsidRPr="0065366B">
        <w:rPr>
          <w:rFonts w:ascii="Bookman Old Style" w:hAnsi="Bookman Old Style" w:cs="Arial"/>
        </w:rPr>
        <w:t xml:space="preserve">at </w:t>
      </w:r>
      <w:r w:rsidRPr="0065366B">
        <w:rPr>
          <w:rFonts w:ascii="Bookman Old Style" w:eastAsia="Gungsuh" w:hAnsi="Arial" w:cs="Arial"/>
          <w:b/>
        </w:rPr>
        <w:t>₹</w:t>
      </w:r>
      <w:r w:rsidR="00712D9B">
        <w:rPr>
          <w:rFonts w:ascii="Bookman Old Style" w:eastAsia="Gungsuh" w:hAnsi="Arial" w:cs="Arial"/>
          <w:b/>
        </w:rPr>
        <w:t xml:space="preserve">.7188.67 </w:t>
      </w:r>
      <w:r w:rsidRPr="0065366B">
        <w:rPr>
          <w:rFonts w:ascii="Bookman Old Style" w:hAnsi="Bookman Old Style" w:cs="Arial"/>
          <w:color w:val="000000"/>
        </w:rPr>
        <w:t>Cr</w:t>
      </w:r>
      <w:r w:rsidR="00CC5C57">
        <w:rPr>
          <w:rFonts w:ascii="Bookman Old Style" w:hAnsi="Bookman Old Style" w:cs="Arial"/>
          <w:color w:val="000000"/>
        </w:rPr>
        <w:t>ores</w:t>
      </w:r>
      <w:r w:rsidRPr="0065366B">
        <w:rPr>
          <w:rFonts w:ascii="Bookman Old Style" w:hAnsi="Bookman Old Style" w:cs="Arial"/>
          <w:color w:val="000000"/>
        </w:rPr>
        <w:t xml:space="preserve"> against the </w:t>
      </w:r>
      <w:r w:rsidR="00604AC6" w:rsidRPr="0065366B">
        <w:rPr>
          <w:rFonts w:ascii="Bookman Old Style" w:hAnsi="Bookman Old Style" w:cs="Arial"/>
          <w:color w:val="000000"/>
        </w:rPr>
        <w:t>t</w:t>
      </w:r>
      <w:r w:rsidRPr="0065366B">
        <w:rPr>
          <w:rFonts w:ascii="Bookman Old Style" w:hAnsi="Bookman Old Style" w:cs="Arial"/>
          <w:color w:val="000000"/>
        </w:rPr>
        <w:t>otal Advance of</w:t>
      </w:r>
      <w:r w:rsidR="00874859">
        <w:rPr>
          <w:rFonts w:ascii="Bookman Old Style" w:hAnsi="Bookman Old Style" w:cs="Arial"/>
          <w:color w:val="000000"/>
        </w:rPr>
        <w:t xml:space="preserve"> </w:t>
      </w:r>
      <w:r w:rsidRPr="0065366B">
        <w:rPr>
          <w:rFonts w:ascii="Bookman Old Style" w:eastAsia="Gungsuh" w:hAnsi="Arial" w:cs="Arial"/>
          <w:bCs/>
        </w:rPr>
        <w:t>₹</w:t>
      </w:r>
      <w:r w:rsidR="00BA4607" w:rsidRPr="0065366B">
        <w:rPr>
          <w:rFonts w:ascii="Bookman Old Style" w:eastAsia="Gungsuh" w:hAnsi="Bookman Old Style" w:cs="Arial"/>
          <w:bCs/>
        </w:rPr>
        <w:t>.</w:t>
      </w:r>
      <w:r w:rsidR="002C3F5A">
        <w:rPr>
          <w:rFonts w:ascii="Bookman Old Style" w:eastAsia="Gungsuh" w:hAnsi="Bookman Old Style" w:cs="Arial"/>
          <w:bCs/>
        </w:rPr>
        <w:t xml:space="preserve">     </w:t>
      </w:r>
      <w:bookmarkStart w:id="5" w:name="_Hlk134624430"/>
      <w:r w:rsidR="002C3F5A" w:rsidRPr="00B11BEE">
        <w:rPr>
          <w:rFonts w:ascii="Bookman Old Style" w:hAnsi="Bookman Old Style" w:cs="Arial"/>
          <w:color w:val="000000"/>
        </w:rPr>
        <w:t>16372.18</w:t>
      </w:r>
      <w:r w:rsidR="002C3F5A">
        <w:rPr>
          <w:rFonts w:ascii="Bookman Old Style" w:hAnsi="Bookman Old Style" w:cs="Arial"/>
          <w:color w:val="000000"/>
        </w:rPr>
        <w:t xml:space="preserve"> </w:t>
      </w:r>
      <w:bookmarkEnd w:id="5"/>
      <w:r w:rsidRPr="0065366B">
        <w:rPr>
          <w:rFonts w:ascii="Bookman Old Style" w:hAnsi="Bookman Old Style" w:cs="Arial"/>
          <w:bCs/>
          <w:color w:val="000000"/>
        </w:rPr>
        <w:t>Cr</w:t>
      </w:r>
      <w:r w:rsidR="00CC5C57">
        <w:rPr>
          <w:rFonts w:ascii="Bookman Old Style" w:hAnsi="Bookman Old Style" w:cs="Arial"/>
          <w:bCs/>
          <w:color w:val="000000"/>
        </w:rPr>
        <w:t>ores</w:t>
      </w:r>
      <w:r w:rsidR="00874859">
        <w:rPr>
          <w:rFonts w:ascii="Bookman Old Style" w:hAnsi="Bookman Old Style" w:cs="Arial"/>
          <w:bCs/>
          <w:color w:val="000000"/>
        </w:rPr>
        <w:t xml:space="preserve"> </w:t>
      </w:r>
      <w:r w:rsidR="00E2123A" w:rsidRPr="0065366B">
        <w:rPr>
          <w:rFonts w:ascii="Bookman Old Style" w:hAnsi="Bookman Old Style" w:cs="Arial"/>
          <w:bCs/>
          <w:color w:val="000000"/>
        </w:rPr>
        <w:t>constitut</w:t>
      </w:r>
      <w:r w:rsidR="00931E53" w:rsidRPr="0065366B">
        <w:rPr>
          <w:rFonts w:ascii="Bookman Old Style" w:hAnsi="Bookman Old Style" w:cs="Arial"/>
          <w:bCs/>
          <w:color w:val="000000"/>
        </w:rPr>
        <w:t>ing</w:t>
      </w:r>
      <w:r w:rsidR="00874859">
        <w:rPr>
          <w:rFonts w:ascii="Bookman Old Style" w:hAnsi="Bookman Old Style" w:cs="Arial"/>
          <w:bCs/>
          <w:color w:val="000000"/>
        </w:rPr>
        <w:t xml:space="preserve"> </w:t>
      </w:r>
      <w:r w:rsidR="00604AC6" w:rsidRPr="0065366B">
        <w:rPr>
          <w:rFonts w:ascii="Bookman Old Style" w:hAnsi="Bookman Old Style" w:cs="Arial"/>
          <w:b/>
          <w:color w:val="000000"/>
        </w:rPr>
        <w:t>4</w:t>
      </w:r>
      <w:r w:rsidR="00F8778A" w:rsidRPr="0065366B">
        <w:rPr>
          <w:rFonts w:ascii="Bookman Old Style" w:hAnsi="Bookman Old Style" w:cs="Arial"/>
          <w:b/>
          <w:color w:val="000000"/>
        </w:rPr>
        <w:t>3.</w:t>
      </w:r>
      <w:r w:rsidR="002C3F5A">
        <w:rPr>
          <w:rFonts w:ascii="Bookman Old Style" w:hAnsi="Bookman Old Style" w:cs="Arial"/>
          <w:b/>
          <w:color w:val="000000"/>
        </w:rPr>
        <w:t>91</w:t>
      </w:r>
      <w:r w:rsidR="00604AC6" w:rsidRPr="0065366B">
        <w:rPr>
          <w:rFonts w:ascii="Bookman Old Style" w:hAnsi="Bookman Old Style" w:cs="Arial"/>
          <w:b/>
          <w:color w:val="000000"/>
        </w:rPr>
        <w:t>%</w:t>
      </w:r>
      <w:r w:rsidR="00604AC6" w:rsidRPr="0065366B">
        <w:rPr>
          <w:rFonts w:ascii="Bookman Old Style" w:hAnsi="Bookman Old Style" w:cs="Arial"/>
          <w:bCs/>
          <w:color w:val="000000"/>
        </w:rPr>
        <w:t xml:space="preserve"> during the quarter</w:t>
      </w:r>
      <w:r w:rsidRPr="0065366B">
        <w:rPr>
          <w:rFonts w:ascii="Bookman Old Style" w:hAnsi="Bookman Old Style" w:cs="Arial"/>
        </w:rPr>
        <w:t xml:space="preserve"> and is well above the benchmark of </w:t>
      </w:r>
      <w:r w:rsidRPr="0065366B">
        <w:rPr>
          <w:rFonts w:ascii="Bookman Old Style" w:hAnsi="Bookman Old Style" w:cs="Arial"/>
          <w:b/>
          <w:bCs/>
        </w:rPr>
        <w:t>40%</w:t>
      </w:r>
      <w:r w:rsidRPr="0065366B">
        <w:rPr>
          <w:rFonts w:ascii="Bookman Old Style" w:hAnsi="Bookman Old Style" w:cs="Arial"/>
        </w:rPr>
        <w:t xml:space="preserve"> set by RBI. </w:t>
      </w:r>
      <w:proofErr w:type="spellStart"/>
      <w:r w:rsidRPr="0065366B">
        <w:rPr>
          <w:rFonts w:ascii="Bookman Old Style" w:hAnsi="Bookman Old Style" w:cs="Arial"/>
        </w:rPr>
        <w:t>Bankwise</w:t>
      </w:r>
      <w:proofErr w:type="spellEnd"/>
      <w:r w:rsidRPr="0065366B">
        <w:rPr>
          <w:rFonts w:ascii="Bookman Old Style" w:hAnsi="Bookman Old Style" w:cs="Arial"/>
        </w:rPr>
        <w:t xml:space="preserve"> position given in </w:t>
      </w:r>
      <w:r w:rsidRPr="0065366B">
        <w:rPr>
          <w:rFonts w:ascii="Bookman Old Style" w:hAnsi="Bookman Old Style" w:cs="Arial"/>
          <w:b/>
          <w:bCs/>
          <w:highlight w:val="yellow"/>
        </w:rPr>
        <w:t xml:space="preserve">page no </w:t>
      </w:r>
      <w:r w:rsidR="00741691" w:rsidRPr="0065366B">
        <w:rPr>
          <w:rFonts w:ascii="Bookman Old Style" w:hAnsi="Bookman Old Style" w:cs="Arial"/>
          <w:b/>
          <w:bCs/>
          <w:highlight w:val="yellow"/>
        </w:rPr>
        <w:t>1</w:t>
      </w:r>
      <w:r w:rsidR="009F2594" w:rsidRPr="0065366B">
        <w:rPr>
          <w:rFonts w:ascii="Bookman Old Style" w:hAnsi="Bookman Old Style" w:cs="Arial"/>
          <w:b/>
          <w:bCs/>
          <w:highlight w:val="yellow"/>
        </w:rPr>
        <w:t>7-18</w:t>
      </w:r>
      <w:r w:rsidR="00E2123A" w:rsidRPr="0065366B">
        <w:rPr>
          <w:rFonts w:ascii="Bookman Old Style" w:hAnsi="Bookman Old Style" w:cs="Arial"/>
          <w:b/>
          <w:bCs/>
          <w:highlight w:val="yellow"/>
        </w:rPr>
        <w:t>.</w:t>
      </w:r>
    </w:p>
    <w:p w14:paraId="47D790B3" w14:textId="77777777" w:rsidR="00960975" w:rsidRPr="0065366B" w:rsidRDefault="00960975" w:rsidP="00E2123A">
      <w:pPr>
        <w:pStyle w:val="NoSpacing"/>
        <w:jc w:val="both"/>
        <w:rPr>
          <w:rFonts w:ascii="Bookman Old Style" w:hAnsi="Bookman Old Style" w:cs="Arial"/>
          <w:sz w:val="24"/>
          <w:szCs w:val="24"/>
          <w:highlight w:val="yellow"/>
        </w:rPr>
      </w:pPr>
    </w:p>
    <w:p w14:paraId="33D6F36D" w14:textId="22542E05" w:rsidR="007B31E3" w:rsidRPr="0065366B" w:rsidRDefault="00960975" w:rsidP="00A852E5">
      <w:pPr>
        <w:jc w:val="both"/>
        <w:rPr>
          <w:rFonts w:ascii="Bookman Old Style" w:hAnsi="Bookman Old Style" w:cs="Arial"/>
          <w:b/>
        </w:rPr>
      </w:pPr>
      <w:r w:rsidRPr="0065366B">
        <w:rPr>
          <w:rFonts w:ascii="Bookman Old Style" w:hAnsi="Bookman Old Style" w:cs="Arial"/>
        </w:rPr>
        <w:t xml:space="preserve">Agriculture outstanding advances as on </w:t>
      </w:r>
      <w:r w:rsidR="00907004">
        <w:rPr>
          <w:rFonts w:ascii="Bookman Old Style" w:hAnsi="Bookman Old Style" w:cs="Arial"/>
        </w:rPr>
        <w:t>March 2023</w:t>
      </w:r>
      <w:r w:rsidR="004044A9" w:rsidRPr="0065366B">
        <w:rPr>
          <w:rFonts w:ascii="Bookman Old Style" w:hAnsi="Bookman Old Style" w:cs="Arial"/>
        </w:rPr>
        <w:t xml:space="preserve"> quarter</w:t>
      </w:r>
      <w:r w:rsidR="00874859">
        <w:rPr>
          <w:rFonts w:ascii="Bookman Old Style" w:hAnsi="Bookman Old Style" w:cs="Arial"/>
        </w:rPr>
        <w:t xml:space="preserve"> </w:t>
      </w:r>
      <w:r w:rsidRPr="0065366B">
        <w:rPr>
          <w:rFonts w:ascii="Bookman Old Style" w:hAnsi="Bookman Old Style" w:cs="Arial"/>
        </w:rPr>
        <w:t xml:space="preserve">is </w:t>
      </w:r>
      <w:bookmarkStart w:id="6" w:name="_Hlk128570326"/>
      <w:bookmarkStart w:id="7" w:name="_Hlk128577625"/>
      <w:r w:rsidRPr="0065366B">
        <w:rPr>
          <w:rFonts w:ascii="Bookman Old Style" w:hAnsi="Arial" w:cs="Arial"/>
          <w:b/>
          <w:bCs/>
        </w:rPr>
        <w:t>₹</w:t>
      </w:r>
      <w:bookmarkEnd w:id="6"/>
      <w:r w:rsidR="00A852E5" w:rsidRPr="0065366B">
        <w:rPr>
          <w:rFonts w:ascii="Bookman Old Style" w:hAnsi="Bookman Old Style" w:cs="Arial"/>
          <w:b/>
          <w:bCs/>
        </w:rPr>
        <w:t>.</w:t>
      </w:r>
      <w:bookmarkEnd w:id="7"/>
      <w:r w:rsidR="00A852E5" w:rsidRPr="0065366B">
        <w:rPr>
          <w:rFonts w:ascii="Bookman Old Style" w:hAnsi="Bookman Old Style" w:cs="Calibri"/>
          <w:b/>
          <w:bCs/>
          <w:color w:val="000000"/>
        </w:rPr>
        <w:t>2</w:t>
      </w:r>
      <w:r w:rsidR="004044A9" w:rsidRPr="0065366B">
        <w:rPr>
          <w:rFonts w:ascii="Bookman Old Style" w:hAnsi="Bookman Old Style" w:cs="Calibri"/>
          <w:b/>
          <w:bCs/>
          <w:color w:val="000000"/>
        </w:rPr>
        <w:t>9</w:t>
      </w:r>
      <w:r w:rsidR="00CB6D82">
        <w:rPr>
          <w:rFonts w:ascii="Bookman Old Style" w:hAnsi="Bookman Old Style" w:cs="Calibri"/>
          <w:b/>
          <w:bCs/>
          <w:color w:val="000000"/>
        </w:rPr>
        <w:t xml:space="preserve">33.53 </w:t>
      </w:r>
      <w:r w:rsidRPr="0065366B">
        <w:rPr>
          <w:rFonts w:ascii="Bookman Old Style" w:hAnsi="Bookman Old Style" w:cs="Arial"/>
          <w:b/>
          <w:bCs/>
          <w:color w:val="000000"/>
        </w:rPr>
        <w:t>Cr</w:t>
      </w:r>
      <w:r w:rsidR="00CC5C57">
        <w:rPr>
          <w:rFonts w:ascii="Bookman Old Style" w:hAnsi="Bookman Old Style" w:cs="Arial"/>
          <w:b/>
          <w:bCs/>
          <w:color w:val="000000"/>
        </w:rPr>
        <w:t>ores</w:t>
      </w:r>
      <w:r w:rsidRPr="0065366B">
        <w:rPr>
          <w:rFonts w:ascii="Bookman Old Style" w:hAnsi="Bookman Old Style" w:cs="Arial"/>
        </w:rPr>
        <w:t xml:space="preserve"> against the total advance of </w:t>
      </w:r>
      <w:bookmarkStart w:id="8" w:name="_Hlk63686007"/>
      <w:r w:rsidR="00A852E5" w:rsidRPr="0065366B">
        <w:rPr>
          <w:rFonts w:ascii="Bookman Old Style" w:eastAsia="Gungsuh" w:hAnsi="Arial" w:cs="Arial"/>
          <w:bCs/>
        </w:rPr>
        <w:t>₹</w:t>
      </w:r>
      <w:r w:rsidR="00A852E5" w:rsidRPr="0065366B">
        <w:rPr>
          <w:rFonts w:ascii="Bookman Old Style" w:eastAsia="Gungsuh" w:hAnsi="Bookman Old Style" w:cs="Arial"/>
          <w:bCs/>
        </w:rPr>
        <w:t>.</w:t>
      </w:r>
      <w:r w:rsidR="00CB6D82" w:rsidRPr="00B11BEE">
        <w:rPr>
          <w:rFonts w:ascii="Bookman Old Style" w:hAnsi="Bookman Old Style" w:cs="Arial"/>
          <w:color w:val="000000"/>
        </w:rPr>
        <w:t>16372.18</w:t>
      </w:r>
      <w:r w:rsidR="00CB6D82">
        <w:rPr>
          <w:rFonts w:ascii="Bookman Old Style" w:hAnsi="Bookman Old Style" w:cs="Arial"/>
          <w:color w:val="000000"/>
        </w:rPr>
        <w:t xml:space="preserve"> </w:t>
      </w:r>
      <w:r w:rsidR="00A852E5" w:rsidRPr="0065366B">
        <w:rPr>
          <w:rFonts w:ascii="Bookman Old Style" w:hAnsi="Bookman Old Style" w:cs="Arial"/>
          <w:bCs/>
          <w:color w:val="000000"/>
        </w:rPr>
        <w:t>Cr</w:t>
      </w:r>
      <w:bookmarkEnd w:id="8"/>
      <w:r w:rsidR="00CC5C57">
        <w:rPr>
          <w:rFonts w:ascii="Bookman Old Style" w:hAnsi="Bookman Old Style" w:cs="Arial"/>
          <w:bCs/>
          <w:color w:val="000000"/>
        </w:rPr>
        <w:t>ores</w:t>
      </w:r>
      <w:r w:rsidRPr="0065366B">
        <w:rPr>
          <w:rFonts w:ascii="Bookman Old Style" w:hAnsi="Bookman Old Style" w:cs="Arial"/>
        </w:rPr>
        <w:t xml:space="preserve"> which is </w:t>
      </w:r>
      <w:r w:rsidR="00A852E5" w:rsidRPr="0065366B">
        <w:rPr>
          <w:rFonts w:ascii="Bookman Old Style" w:hAnsi="Bookman Old Style" w:cs="Arial"/>
        </w:rPr>
        <w:t>1</w:t>
      </w:r>
      <w:r w:rsidR="00CB6D82">
        <w:rPr>
          <w:rFonts w:ascii="Bookman Old Style" w:hAnsi="Bookman Old Style" w:cs="Arial"/>
        </w:rPr>
        <w:t>7.92</w:t>
      </w:r>
      <w:r w:rsidR="00A852E5" w:rsidRPr="0065366B">
        <w:rPr>
          <w:rFonts w:ascii="Bookman Old Style" w:hAnsi="Bookman Old Style" w:cs="Arial"/>
        </w:rPr>
        <w:t>%</w:t>
      </w:r>
      <w:r w:rsidRPr="0065366B">
        <w:rPr>
          <w:rFonts w:ascii="Bookman Old Style" w:hAnsi="Bookman Old Style" w:cs="Arial"/>
        </w:rPr>
        <w:t xml:space="preserve"> of total advances against the benchmark of </w:t>
      </w:r>
      <w:r w:rsidRPr="0065366B">
        <w:rPr>
          <w:rFonts w:ascii="Bookman Old Style" w:hAnsi="Bookman Old Style" w:cs="Arial"/>
          <w:b/>
          <w:bCs/>
        </w:rPr>
        <w:t>18%</w:t>
      </w:r>
      <w:r w:rsidRPr="0065366B">
        <w:rPr>
          <w:rFonts w:ascii="Bookman Old Style" w:hAnsi="Bookman Old Style" w:cs="Arial"/>
        </w:rPr>
        <w:t xml:space="preserve">. Bank wise details </w:t>
      </w:r>
      <w:r w:rsidR="00874859">
        <w:rPr>
          <w:rFonts w:ascii="Bookman Old Style" w:hAnsi="Bookman Old Style" w:cs="Arial"/>
        </w:rPr>
        <w:t xml:space="preserve">are </w:t>
      </w:r>
      <w:r w:rsidRPr="0065366B">
        <w:rPr>
          <w:rFonts w:ascii="Bookman Old Style" w:hAnsi="Bookman Old Style" w:cs="Arial"/>
        </w:rPr>
        <w:t xml:space="preserve">furnished </w:t>
      </w:r>
      <w:r w:rsidRPr="0065366B">
        <w:rPr>
          <w:rFonts w:ascii="Bookman Old Style" w:hAnsi="Bookman Old Style" w:cs="Arial"/>
          <w:highlight w:val="yellow"/>
        </w:rPr>
        <w:t xml:space="preserve">in </w:t>
      </w:r>
      <w:r w:rsidRPr="0065366B">
        <w:rPr>
          <w:rFonts w:ascii="Bookman Old Style" w:hAnsi="Bookman Old Style" w:cs="Arial"/>
          <w:b/>
          <w:highlight w:val="yellow"/>
        </w:rPr>
        <w:t xml:space="preserve">page </w:t>
      </w:r>
      <w:r w:rsidR="00741691" w:rsidRPr="0065366B">
        <w:rPr>
          <w:rFonts w:ascii="Bookman Old Style" w:hAnsi="Bookman Old Style" w:cs="Arial"/>
          <w:b/>
          <w:highlight w:val="yellow"/>
        </w:rPr>
        <w:t>N</w:t>
      </w:r>
      <w:r w:rsidRPr="0065366B">
        <w:rPr>
          <w:rFonts w:ascii="Bookman Old Style" w:hAnsi="Bookman Old Style" w:cs="Arial"/>
          <w:b/>
          <w:highlight w:val="yellow"/>
        </w:rPr>
        <w:t>o</w:t>
      </w:r>
      <w:r w:rsidR="00741691" w:rsidRPr="0065366B">
        <w:rPr>
          <w:rFonts w:ascii="Bookman Old Style" w:hAnsi="Bookman Old Style" w:cs="Arial"/>
          <w:b/>
          <w:highlight w:val="yellow"/>
        </w:rPr>
        <w:t>.</w:t>
      </w:r>
      <w:r w:rsidR="004840B9" w:rsidRPr="0065366B">
        <w:rPr>
          <w:rFonts w:ascii="Bookman Old Style" w:hAnsi="Bookman Old Style" w:cs="Arial"/>
          <w:b/>
          <w:highlight w:val="yellow"/>
        </w:rPr>
        <w:t>2</w:t>
      </w:r>
      <w:r w:rsidR="00C24238" w:rsidRPr="0065366B">
        <w:rPr>
          <w:rFonts w:ascii="Bookman Old Style" w:hAnsi="Bookman Old Style" w:cs="Arial"/>
          <w:b/>
          <w:highlight w:val="yellow"/>
        </w:rPr>
        <w:t>1</w:t>
      </w:r>
      <w:r w:rsidR="004840B9" w:rsidRPr="0065366B">
        <w:rPr>
          <w:rFonts w:ascii="Bookman Old Style" w:hAnsi="Bookman Old Style" w:cs="Arial"/>
          <w:b/>
          <w:highlight w:val="yellow"/>
        </w:rPr>
        <w:t>.</w:t>
      </w:r>
    </w:p>
    <w:p w14:paraId="38021257" w14:textId="0E5B2742" w:rsidR="008B3EB0" w:rsidRDefault="008B3EB0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59FDD5B5" w14:textId="79FC6C93" w:rsidR="00606DE2" w:rsidRDefault="00606DE2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63DE2BDA" w14:textId="5D452C20" w:rsidR="00606DE2" w:rsidRDefault="00606DE2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41BAB0F9" w14:textId="32242922" w:rsidR="00606DE2" w:rsidRDefault="00606DE2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304ACDAD" w14:textId="40C134E6" w:rsidR="00606DE2" w:rsidRDefault="00606DE2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4F17273B" w14:textId="4648EDCE" w:rsidR="00606DE2" w:rsidRDefault="00606DE2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76D7DCD6" w14:textId="77777777" w:rsidR="00606DE2" w:rsidRDefault="00606DE2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3AF63684" w14:textId="77777777" w:rsidR="008B3EB0" w:rsidRDefault="008B3EB0" w:rsidP="00D93BFF">
      <w:pPr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</w:p>
    <w:p w14:paraId="7B4ADEF4" w14:textId="443BCCED" w:rsidR="00D93BFF" w:rsidRPr="0065366B" w:rsidRDefault="00960975" w:rsidP="00D93BFF">
      <w:pPr>
        <w:jc w:val="both"/>
        <w:rPr>
          <w:rFonts w:ascii="Bookman Old Style" w:hAnsi="Bookman Old Style" w:cs="Arial"/>
          <w:b/>
          <w:bCs/>
          <w:color w:val="000000"/>
        </w:rPr>
      </w:pPr>
      <w:r w:rsidRPr="0065366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The Priority Sector Sub-Segment wise outstanding as on 3</w:t>
      </w:r>
      <w:r w:rsidR="005F47BF" w:rsidRPr="0065366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1-</w:t>
      </w:r>
      <w:r w:rsidR="002637AD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03-</w:t>
      </w:r>
      <w:proofErr w:type="gramStart"/>
      <w:r w:rsidR="002637AD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2023</w:t>
      </w:r>
      <w:r w:rsidR="00FF13F8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 xml:space="preserve"> </w:t>
      </w:r>
      <w:r w:rsidRPr="0065366B">
        <w:rPr>
          <w:rFonts w:ascii="Bookman Old Style" w:eastAsia="Gungsuh" w:hAnsi="Bookman Old Style" w:cs="Arial"/>
          <w:b/>
          <w:bCs/>
          <w:kern w:val="1"/>
          <w:lang w:eastAsia="ar-SA"/>
        </w:rPr>
        <w:t>:</w:t>
      </w:r>
      <w:proofErr w:type="gramEnd"/>
      <w:r w:rsidRPr="0065366B">
        <w:rPr>
          <w:rFonts w:ascii="Bookman Old Style" w:eastAsia="Gungsuh" w:hAnsi="Bookman Old Style" w:cs="Arial"/>
          <w:b/>
          <w:bCs/>
          <w:kern w:val="1"/>
          <w:lang w:eastAsia="ar-SA"/>
        </w:rPr>
        <w:t xml:space="preserve">          </w:t>
      </w:r>
    </w:p>
    <w:p w14:paraId="02582264" w14:textId="77777777" w:rsidR="00960975" w:rsidRPr="0065366B" w:rsidRDefault="00643417" w:rsidP="00643417">
      <w:pPr>
        <w:pStyle w:val="NoSpacing"/>
        <w:rPr>
          <w:rFonts w:ascii="Bookman Old Style" w:hAnsi="Bookman Old Style" w:cs="Arial"/>
          <w:sz w:val="24"/>
          <w:szCs w:val="24"/>
        </w:rPr>
      </w:pPr>
      <w:r w:rsidRPr="0065366B">
        <w:rPr>
          <w:rFonts w:ascii="Bookman Old Style" w:hAnsi="Bookman Old Style" w:cs="Arial"/>
          <w:sz w:val="24"/>
          <w:szCs w:val="24"/>
        </w:rPr>
        <w:tab/>
      </w:r>
      <w:r w:rsidRPr="0065366B">
        <w:rPr>
          <w:rFonts w:ascii="Bookman Old Style" w:hAnsi="Bookman Old Style" w:cs="Arial"/>
          <w:sz w:val="24"/>
          <w:szCs w:val="24"/>
        </w:rPr>
        <w:tab/>
      </w:r>
      <w:r w:rsidRPr="0065366B">
        <w:rPr>
          <w:rFonts w:ascii="Bookman Old Style" w:hAnsi="Bookman Old Style" w:cs="Arial"/>
          <w:sz w:val="24"/>
          <w:szCs w:val="24"/>
        </w:rPr>
        <w:tab/>
      </w:r>
      <w:r w:rsidRPr="0065366B">
        <w:rPr>
          <w:rFonts w:ascii="Bookman Old Style" w:hAnsi="Bookman Old Style" w:cs="Arial"/>
          <w:sz w:val="24"/>
          <w:szCs w:val="24"/>
        </w:rPr>
        <w:tab/>
      </w:r>
      <w:r w:rsidRPr="0065366B">
        <w:rPr>
          <w:rFonts w:ascii="Bookman Old Style" w:hAnsi="Bookman Old Style" w:cs="Arial"/>
          <w:sz w:val="24"/>
          <w:szCs w:val="24"/>
        </w:rPr>
        <w:tab/>
      </w:r>
      <w:r w:rsidRPr="0065366B">
        <w:rPr>
          <w:rFonts w:ascii="Bookman Old Style" w:hAnsi="Bookman Old Style" w:cs="Arial"/>
          <w:sz w:val="24"/>
          <w:szCs w:val="24"/>
        </w:rPr>
        <w:tab/>
      </w:r>
      <w:r w:rsidR="00E2123A" w:rsidRPr="0065366B">
        <w:rPr>
          <w:rFonts w:ascii="Bookman Old Style" w:hAnsi="Bookman Old Style" w:cs="Arial"/>
          <w:sz w:val="24"/>
          <w:szCs w:val="24"/>
        </w:rPr>
        <w:tab/>
      </w:r>
      <w:r w:rsidR="00E2123A" w:rsidRPr="0065366B">
        <w:rPr>
          <w:rFonts w:ascii="Bookman Old Style" w:hAnsi="Bookman Old Style" w:cs="Arial"/>
          <w:sz w:val="24"/>
          <w:szCs w:val="24"/>
        </w:rPr>
        <w:tab/>
      </w:r>
      <w:r w:rsidR="00E2123A" w:rsidRPr="0065366B">
        <w:rPr>
          <w:rFonts w:ascii="Bookman Old Style" w:hAnsi="Bookman Old Style" w:cs="Arial"/>
          <w:sz w:val="24"/>
          <w:szCs w:val="24"/>
        </w:rPr>
        <w:tab/>
      </w:r>
      <w:r w:rsidR="00E2123A" w:rsidRPr="0065366B">
        <w:rPr>
          <w:rFonts w:ascii="Bookman Old Style" w:hAnsi="Bookman Old Style" w:cs="Arial"/>
          <w:sz w:val="24"/>
          <w:szCs w:val="24"/>
        </w:rPr>
        <w:tab/>
      </w:r>
      <w:r w:rsidR="00E2123A" w:rsidRPr="0065366B">
        <w:rPr>
          <w:rFonts w:ascii="Bookman Old Style" w:hAnsi="Bookman Old Style" w:cs="Arial"/>
          <w:sz w:val="24"/>
          <w:szCs w:val="24"/>
        </w:rPr>
        <w:tab/>
      </w:r>
      <w:r w:rsidR="00C8258A" w:rsidRPr="0065366B">
        <w:rPr>
          <w:rFonts w:ascii="Bookman Old Style" w:hAnsi="Bookman Old Style" w:cs="Arial"/>
          <w:sz w:val="24"/>
          <w:szCs w:val="24"/>
        </w:rPr>
        <w:t>(Amt.</w:t>
      </w:r>
      <w:r w:rsidRPr="0065366B">
        <w:rPr>
          <w:rFonts w:ascii="Bookman Old Style" w:hAnsi="Bookman Old Style" w:cs="Arial"/>
          <w:sz w:val="24"/>
          <w:szCs w:val="24"/>
        </w:rPr>
        <w:t xml:space="preserve"> in Crores)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439"/>
        <w:gridCol w:w="3899"/>
        <w:gridCol w:w="3780"/>
      </w:tblGrid>
      <w:tr w:rsidR="00960975" w:rsidRPr="0065366B" w14:paraId="07EF0E00" w14:textId="77777777" w:rsidTr="008E36C0">
        <w:trPr>
          <w:trHeight w:val="39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C119A" w14:textId="77777777" w:rsidR="00960975" w:rsidRPr="0065366B" w:rsidRDefault="00960975" w:rsidP="00E2123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Sub-Segment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E80F" w14:textId="7472477C" w:rsidR="00960975" w:rsidRPr="0065366B" w:rsidRDefault="00960975" w:rsidP="00B40AB7">
            <w:pPr>
              <w:pStyle w:val="NoSpacing"/>
              <w:jc w:val="center"/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Outstanding as on 3</w:t>
            </w:r>
            <w:r w:rsidR="00145FF8"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1-</w:t>
            </w:r>
            <w:r w:rsidR="002637AD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03-2023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2713C" w14:textId="77777777" w:rsidR="00960975" w:rsidRPr="0065366B" w:rsidRDefault="00960975" w:rsidP="00E2123A">
            <w:pPr>
              <w:pStyle w:val="NoSpacing"/>
              <w:jc w:val="center"/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% against Total Advance</w:t>
            </w:r>
          </w:p>
        </w:tc>
      </w:tr>
      <w:tr w:rsidR="00960975" w:rsidRPr="0065366B" w14:paraId="345D007A" w14:textId="77777777" w:rsidTr="008E36C0">
        <w:trPr>
          <w:trHeight w:val="32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8CB92" w14:textId="77777777" w:rsidR="00960975" w:rsidRPr="0065366B" w:rsidRDefault="00960975" w:rsidP="00E2123A">
            <w:pPr>
              <w:pStyle w:val="NoSpacing"/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Agriculture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9B5E" w14:textId="56D4D4E5" w:rsidR="00960975" w:rsidRPr="0065366B" w:rsidRDefault="005E6959" w:rsidP="00DD6172">
            <w:pPr>
              <w:pStyle w:val="NoSpacing"/>
              <w:jc w:val="right"/>
              <w:rPr>
                <w:rFonts w:ascii="Bookman Old Style" w:eastAsia="Gungsuh" w:hAnsi="Bookman Old Style" w:cs="Arial"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sz w:val="24"/>
                <w:szCs w:val="24"/>
              </w:rPr>
              <w:t>29</w:t>
            </w:r>
            <w:r w:rsidR="008F39FC">
              <w:rPr>
                <w:rFonts w:ascii="Bookman Old Style" w:eastAsia="Gungsuh" w:hAnsi="Bookman Old Style" w:cs="Arial"/>
                <w:sz w:val="24"/>
                <w:szCs w:val="24"/>
              </w:rPr>
              <w:t>33.53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64C0" w14:textId="4165B56A" w:rsidR="00960975" w:rsidRPr="0065366B" w:rsidRDefault="00A42190" w:rsidP="00E2123A">
            <w:pPr>
              <w:pStyle w:val="NoSpacing"/>
              <w:jc w:val="center"/>
              <w:rPr>
                <w:rFonts w:ascii="Bookman Old Style" w:eastAsia="Gungsuh" w:hAnsi="Bookman Old Style" w:cs="Arial"/>
                <w:sz w:val="24"/>
                <w:szCs w:val="24"/>
              </w:rPr>
            </w:pPr>
            <w:r>
              <w:rPr>
                <w:rFonts w:ascii="Bookman Old Style" w:eastAsia="Gungsuh" w:hAnsi="Bookman Old Style" w:cs="Arial"/>
                <w:sz w:val="24"/>
                <w:szCs w:val="24"/>
              </w:rPr>
              <w:t>17.92</w:t>
            </w:r>
            <w:r w:rsidR="00143C2B" w:rsidRPr="0065366B">
              <w:rPr>
                <w:rFonts w:ascii="Bookman Old Style" w:eastAsia="Gungsuh" w:hAnsi="Bookman Old Style" w:cs="Arial"/>
                <w:sz w:val="24"/>
                <w:szCs w:val="24"/>
              </w:rPr>
              <w:t xml:space="preserve"> %</w:t>
            </w:r>
          </w:p>
        </w:tc>
      </w:tr>
      <w:tr w:rsidR="00960975" w:rsidRPr="0065366B" w14:paraId="20AC8151" w14:textId="77777777" w:rsidTr="008E36C0">
        <w:trPr>
          <w:trHeight w:val="26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82348" w14:textId="77777777" w:rsidR="00960975" w:rsidRPr="0065366B" w:rsidRDefault="00960975" w:rsidP="00E2123A">
            <w:pPr>
              <w:pStyle w:val="NoSpacing"/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MSME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6EA0" w14:textId="3DB0EFDF" w:rsidR="00960975" w:rsidRPr="008F39FC" w:rsidRDefault="008F39FC" w:rsidP="008F39FC">
            <w:pPr>
              <w:jc w:val="right"/>
              <w:rPr>
                <w:rFonts w:ascii="Bookman Old Style" w:hAnsi="Bookman Old Style" w:cs="Arial"/>
                <w:color w:val="000000"/>
              </w:rPr>
            </w:pPr>
            <w:r w:rsidRPr="008F39FC">
              <w:rPr>
                <w:rFonts w:ascii="Bookman Old Style" w:hAnsi="Bookman Old Style" w:cs="Calibri"/>
                <w:color w:val="000000"/>
              </w:rPr>
              <w:t>3502.89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D881" w14:textId="00587EE0" w:rsidR="00960975" w:rsidRPr="008F39FC" w:rsidRDefault="00A42190" w:rsidP="00E2123A">
            <w:pPr>
              <w:pStyle w:val="NoSpacing"/>
              <w:jc w:val="center"/>
              <w:rPr>
                <w:rFonts w:ascii="Bookman Old Style" w:eastAsia="Gungsuh" w:hAnsi="Bookman Old Style" w:cs="Arial"/>
                <w:sz w:val="24"/>
                <w:szCs w:val="24"/>
              </w:rPr>
            </w:pPr>
            <w:r>
              <w:rPr>
                <w:rFonts w:ascii="Bookman Old Style" w:eastAsia="Gungsuh" w:hAnsi="Bookman Old Style" w:cs="Arial"/>
                <w:sz w:val="24"/>
                <w:szCs w:val="24"/>
              </w:rPr>
              <w:t>21.40</w:t>
            </w:r>
            <w:r w:rsidR="00143C2B" w:rsidRPr="008F39FC">
              <w:rPr>
                <w:rFonts w:ascii="Bookman Old Style" w:eastAsia="Gungsuh" w:hAnsi="Bookman Old Style" w:cs="Arial"/>
                <w:sz w:val="24"/>
                <w:szCs w:val="24"/>
              </w:rPr>
              <w:t xml:space="preserve"> %</w:t>
            </w:r>
          </w:p>
        </w:tc>
      </w:tr>
      <w:tr w:rsidR="00960975" w:rsidRPr="0065366B" w14:paraId="69570685" w14:textId="77777777" w:rsidTr="008E36C0">
        <w:trPr>
          <w:trHeight w:val="24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9B999" w14:textId="77777777" w:rsidR="00960975" w:rsidRPr="0065366B" w:rsidRDefault="00960975" w:rsidP="00E2123A">
            <w:pPr>
              <w:pStyle w:val="NoSpacing"/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Other PS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1ECC2" w14:textId="1259109E" w:rsidR="00960975" w:rsidRPr="0065366B" w:rsidRDefault="008F39FC" w:rsidP="00E2123A">
            <w:pPr>
              <w:pStyle w:val="NoSpacing"/>
              <w:jc w:val="right"/>
              <w:rPr>
                <w:rFonts w:ascii="Bookman Old Style" w:eastAsia="Gungsuh" w:hAnsi="Bookman Old Style" w:cs="Arial"/>
                <w:sz w:val="24"/>
                <w:szCs w:val="24"/>
              </w:rPr>
            </w:pPr>
            <w:r>
              <w:rPr>
                <w:rFonts w:ascii="Bookman Old Style" w:eastAsia="Gungsuh" w:hAnsi="Bookman Old Style" w:cs="Arial"/>
                <w:sz w:val="24"/>
                <w:szCs w:val="24"/>
              </w:rPr>
              <w:t>752.24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4C7EF" w14:textId="44C1E2BF" w:rsidR="00960975" w:rsidRPr="0065366B" w:rsidRDefault="00143C2B" w:rsidP="00031A6E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4.</w:t>
            </w:r>
            <w:r w:rsidR="00A42190">
              <w:rPr>
                <w:rFonts w:ascii="Bookman Old Style" w:hAnsi="Bookman Old Style" w:cs="Arial"/>
                <w:sz w:val="24"/>
                <w:szCs w:val="24"/>
              </w:rPr>
              <w:t>59</w:t>
            </w:r>
            <w:r w:rsidRPr="0065366B">
              <w:rPr>
                <w:rFonts w:ascii="Bookman Old Style" w:hAnsi="Bookman Old Style" w:cs="Arial"/>
                <w:sz w:val="24"/>
                <w:szCs w:val="24"/>
              </w:rPr>
              <w:t xml:space="preserve"> %</w:t>
            </w:r>
          </w:p>
        </w:tc>
      </w:tr>
      <w:tr w:rsidR="00DD6172" w:rsidRPr="0065366B" w14:paraId="6AC78E82" w14:textId="77777777" w:rsidTr="008E36C0">
        <w:trPr>
          <w:trHeight w:val="24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20F55" w14:textId="77777777" w:rsidR="00DD6172" w:rsidRPr="0065366B" w:rsidRDefault="00661CCC" w:rsidP="00E2123A">
            <w:pPr>
              <w:pStyle w:val="NoSpacing"/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eastAsia="Gungsuh" w:hAnsi="Bookman Old Style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302C0" w14:textId="6CA0D7C7" w:rsidR="00DD6172" w:rsidRPr="0065366B" w:rsidRDefault="0001527C" w:rsidP="00E2123A">
            <w:pPr>
              <w:pStyle w:val="NoSpacing"/>
              <w:jc w:val="right"/>
              <w:rPr>
                <w:rFonts w:ascii="Bookman Old Style" w:eastAsia="Gungsuh" w:hAnsi="Bookman Old Style" w:cs="Arial"/>
                <w:sz w:val="24"/>
                <w:szCs w:val="24"/>
              </w:rPr>
            </w:pPr>
            <w:r>
              <w:rPr>
                <w:rFonts w:ascii="Bookman Old Style" w:eastAsia="Gungsuh" w:hAnsi="Bookman Old Style" w:cs="Arial"/>
                <w:sz w:val="24"/>
                <w:szCs w:val="24"/>
              </w:rPr>
              <w:t>7188.67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558B" w14:textId="4DE84EF6" w:rsidR="00DD6172" w:rsidRPr="0065366B" w:rsidRDefault="00143C2B" w:rsidP="00E2123A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sz w:val="24"/>
                <w:szCs w:val="24"/>
              </w:rPr>
              <w:t>4</w:t>
            </w:r>
            <w:r w:rsidR="00750F87" w:rsidRPr="0065366B">
              <w:rPr>
                <w:rFonts w:ascii="Bookman Old Style" w:hAnsi="Bookman Old Style" w:cs="Arial"/>
                <w:sz w:val="24"/>
                <w:szCs w:val="24"/>
              </w:rPr>
              <w:t>3.</w:t>
            </w:r>
            <w:r w:rsidR="0001527C">
              <w:rPr>
                <w:rFonts w:ascii="Bookman Old Style" w:hAnsi="Bookman Old Style" w:cs="Arial"/>
                <w:sz w:val="24"/>
                <w:szCs w:val="24"/>
              </w:rPr>
              <w:t>91</w:t>
            </w:r>
            <w:r w:rsidRPr="0065366B">
              <w:rPr>
                <w:rFonts w:ascii="Bookman Old Style" w:hAnsi="Bookman Old Style" w:cs="Arial"/>
                <w:sz w:val="24"/>
                <w:szCs w:val="24"/>
              </w:rPr>
              <w:t>%</w:t>
            </w:r>
          </w:p>
        </w:tc>
      </w:tr>
    </w:tbl>
    <w:p w14:paraId="04B30957" w14:textId="77777777" w:rsidR="00666149" w:rsidRPr="0065366B" w:rsidRDefault="00666149" w:rsidP="00C8258A">
      <w:pPr>
        <w:pStyle w:val="NoSpacing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637A08AC" w14:textId="05D2A644" w:rsidR="00D62753" w:rsidRPr="000B423B" w:rsidRDefault="0052204A" w:rsidP="00C8258A">
      <w:pPr>
        <w:pStyle w:val="NoSpacing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ACP </w:t>
      </w:r>
      <w:r w:rsidR="00D62753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Targets achievements </w:t>
      </w:r>
      <w:r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for FY 202</w:t>
      </w:r>
      <w:r w:rsidR="000770C6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2-23</w:t>
      </w:r>
      <w:r w:rsidR="00874859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="00D62753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as on </w:t>
      </w:r>
      <w:r w:rsidR="005B5D41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3</w:t>
      </w:r>
      <w:r w:rsidR="003A0464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1</w:t>
      </w:r>
      <w:r w:rsidR="003A0464" w:rsidRPr="000B423B">
        <w:rPr>
          <w:rFonts w:ascii="Bookman Old Style" w:hAnsi="Bookman Old Style" w:cs="Arial"/>
          <w:b/>
          <w:bCs/>
          <w:sz w:val="24"/>
          <w:szCs w:val="24"/>
          <w:u w:val="single"/>
          <w:vertAlign w:val="superscript"/>
        </w:rPr>
        <w:t>st</w:t>
      </w:r>
      <w:r w:rsidR="003A0464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="00EA6720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March 2023</w:t>
      </w:r>
      <w:r w:rsidR="00874859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is</w:t>
      </w:r>
      <w:r w:rsidR="00D62753"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furnished here under:</w:t>
      </w:r>
    </w:p>
    <w:p w14:paraId="5BABA5EB" w14:textId="77777777" w:rsidR="00D62753" w:rsidRPr="000B423B" w:rsidRDefault="00D62753" w:rsidP="00C8258A">
      <w:pPr>
        <w:pStyle w:val="NoSpacing"/>
        <w:rPr>
          <w:rFonts w:ascii="Bookman Old Style" w:hAnsi="Bookman Old Style" w:cs="Arial"/>
          <w:b/>
          <w:bCs/>
          <w:sz w:val="24"/>
          <w:szCs w:val="24"/>
        </w:rPr>
      </w:pPr>
      <w:r w:rsidRPr="000B423B">
        <w:rPr>
          <w:rFonts w:ascii="Bookman Old Style" w:hAnsi="Bookman Old Style" w:cs="Arial"/>
          <w:b/>
          <w:bCs/>
          <w:sz w:val="24"/>
          <w:szCs w:val="24"/>
        </w:rPr>
        <w:t>Priority Sector - Segment Wise Target &amp;Achievement (Page</w:t>
      </w:r>
      <w:r w:rsidR="004840B9" w:rsidRPr="000B423B">
        <w:rPr>
          <w:rFonts w:ascii="Bookman Old Style" w:hAnsi="Bookman Old Style" w:cs="Arial"/>
          <w:b/>
          <w:bCs/>
          <w:sz w:val="24"/>
          <w:szCs w:val="24"/>
        </w:rPr>
        <w:t>3</w:t>
      </w:r>
      <w:r w:rsidR="00AF6286" w:rsidRPr="000B423B">
        <w:rPr>
          <w:rFonts w:ascii="Bookman Old Style" w:hAnsi="Bookman Old Style" w:cs="Arial"/>
          <w:b/>
          <w:bCs/>
          <w:sz w:val="24"/>
          <w:szCs w:val="24"/>
        </w:rPr>
        <w:t>1-32</w:t>
      </w:r>
      <w:r w:rsidRPr="000B423B">
        <w:rPr>
          <w:rFonts w:ascii="Bookman Old Style" w:hAnsi="Bookman Old Style" w:cs="Arial"/>
          <w:b/>
          <w:bCs/>
          <w:sz w:val="24"/>
          <w:szCs w:val="24"/>
        </w:rPr>
        <w:t>)</w:t>
      </w:r>
    </w:p>
    <w:p w14:paraId="630916BD" w14:textId="127637FC" w:rsidR="00D62753" w:rsidRPr="000B423B" w:rsidRDefault="00C8258A" w:rsidP="00C8258A">
      <w:pPr>
        <w:pStyle w:val="NoSpacing"/>
        <w:rPr>
          <w:rFonts w:ascii="Bookman Old Style" w:eastAsia="Arial Unicode MS" w:hAnsi="Bookman Old Style" w:cs="Arial"/>
          <w:sz w:val="24"/>
          <w:szCs w:val="24"/>
        </w:rPr>
      </w:pP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Pr="000B423B">
        <w:rPr>
          <w:rFonts w:ascii="Bookman Old Style" w:hAnsi="Bookman Old Style" w:cs="Arial"/>
          <w:sz w:val="24"/>
          <w:szCs w:val="24"/>
        </w:rPr>
        <w:tab/>
      </w:r>
      <w:r w:rsidR="00D62753" w:rsidRPr="000B423B">
        <w:rPr>
          <w:rFonts w:ascii="Bookman Old Style" w:hAnsi="Bookman Old Style" w:cs="Arial"/>
          <w:sz w:val="24"/>
          <w:szCs w:val="24"/>
        </w:rPr>
        <w:t>(</w:t>
      </w:r>
      <w:r w:rsidRPr="000B423B">
        <w:rPr>
          <w:rFonts w:ascii="Bookman Old Style" w:eastAsia="Arial Unicode MS" w:hAnsi="Bookman Old Style" w:cs="Arial"/>
          <w:sz w:val="24"/>
          <w:szCs w:val="24"/>
        </w:rPr>
        <w:t>Amt.</w:t>
      </w:r>
      <w:r w:rsidR="00D62753" w:rsidRPr="000B423B">
        <w:rPr>
          <w:rFonts w:ascii="Bookman Old Style" w:eastAsia="Arial Unicode MS" w:hAnsi="Bookman Old Style" w:cs="Arial"/>
          <w:sz w:val="24"/>
          <w:szCs w:val="24"/>
        </w:rPr>
        <w:t xml:space="preserve"> in Crores)</w:t>
      </w:r>
    </w:p>
    <w:tbl>
      <w:tblPr>
        <w:tblW w:w="964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625"/>
        <w:gridCol w:w="1800"/>
        <w:gridCol w:w="1890"/>
        <w:gridCol w:w="1710"/>
        <w:gridCol w:w="1620"/>
      </w:tblGrid>
      <w:tr w:rsidR="00C3165E" w:rsidRPr="000B423B" w14:paraId="055683F0" w14:textId="77777777" w:rsidTr="00C3165E">
        <w:trPr>
          <w:trHeight w:val="47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A3FDA" w14:textId="27D51FF3" w:rsidR="00C3165E" w:rsidRPr="000B423B" w:rsidRDefault="00C3165E" w:rsidP="0077504B">
            <w:pPr>
              <w:pStyle w:val="NoSpacing"/>
              <w:jc w:val="center"/>
              <w:rPr>
                <w:rFonts w:ascii="Bookman Old Style" w:eastAsia="Arial Unicode MS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eastAsia="Arial Unicode MS" w:hAnsi="Bookman Old Style" w:cs="Arial"/>
                <w:b/>
                <w:bCs/>
                <w:sz w:val="24"/>
                <w:szCs w:val="24"/>
              </w:rPr>
              <w:t>As on 3</w:t>
            </w:r>
            <w:r w:rsidR="003E3294" w:rsidRPr="000B423B">
              <w:rPr>
                <w:rFonts w:ascii="Bookman Old Style" w:eastAsia="Arial Unicode MS" w:hAnsi="Bookman Old Style" w:cs="Arial"/>
                <w:b/>
                <w:bCs/>
                <w:sz w:val="24"/>
                <w:szCs w:val="24"/>
              </w:rPr>
              <w:t>1</w:t>
            </w:r>
            <w:r w:rsidR="003E3294" w:rsidRPr="000B423B">
              <w:rPr>
                <w:rFonts w:ascii="Bookman Old Style" w:eastAsia="Arial Unicode MS" w:hAnsi="Bookman Old Style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="003E3294" w:rsidRPr="000B423B">
              <w:rPr>
                <w:rFonts w:ascii="Bookman Old Style" w:eastAsia="Arial Unicode MS" w:hAnsi="Bookman Old Style" w:cs="Arial"/>
                <w:b/>
                <w:bCs/>
                <w:sz w:val="24"/>
                <w:szCs w:val="24"/>
              </w:rPr>
              <w:t xml:space="preserve"> </w:t>
            </w:r>
            <w:r w:rsidR="004D144F" w:rsidRPr="000B423B">
              <w:rPr>
                <w:rFonts w:ascii="Bookman Old Style" w:eastAsia="Arial Unicode MS" w:hAnsi="Bookman Old Style" w:cs="Arial"/>
                <w:b/>
                <w:bCs/>
                <w:sz w:val="24"/>
                <w:szCs w:val="24"/>
              </w:rPr>
              <w:t>March 2023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7D50" w14:textId="77777777" w:rsidR="00C3165E" w:rsidRPr="000B423B" w:rsidRDefault="00C3165E" w:rsidP="00C8258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Agriculture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44E4A" w14:textId="77777777" w:rsidR="00C3165E" w:rsidRPr="000B423B" w:rsidRDefault="00C3165E" w:rsidP="00C8258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MSME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C39D6" w14:textId="77777777" w:rsidR="00C3165E" w:rsidRPr="000B423B" w:rsidRDefault="00C3165E" w:rsidP="00C8258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Other PS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8F1F" w14:textId="77777777" w:rsidR="00C3165E" w:rsidRPr="000B423B" w:rsidRDefault="00C3165E" w:rsidP="00C8258A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Total PSA</w:t>
            </w:r>
          </w:p>
        </w:tc>
      </w:tr>
      <w:tr w:rsidR="00C3165E" w:rsidRPr="000B423B" w14:paraId="5E3869D7" w14:textId="77777777" w:rsidTr="00C3165E">
        <w:trPr>
          <w:trHeight w:val="14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4256" w14:textId="77777777" w:rsidR="00C3165E" w:rsidRPr="000B423B" w:rsidRDefault="00C3165E" w:rsidP="00C8258A">
            <w:pPr>
              <w:pStyle w:val="NoSpacing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Yearly Target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DC745" w14:textId="77777777" w:rsidR="00C3165E" w:rsidRPr="000B423B" w:rsidRDefault="000948F0" w:rsidP="00DF1128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724.50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2565E" w14:textId="77777777" w:rsidR="00C3165E" w:rsidRPr="000B423B" w:rsidRDefault="009F13F5" w:rsidP="00DF1128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972.45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825C0" w14:textId="77777777" w:rsidR="00C3165E" w:rsidRPr="000B423B" w:rsidRDefault="009F13F5" w:rsidP="00C8258A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165.09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F9D0" w14:textId="77777777" w:rsidR="00C3165E" w:rsidRPr="000B423B" w:rsidRDefault="00A92061" w:rsidP="00E77C2D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1862.03</w:t>
            </w:r>
          </w:p>
        </w:tc>
      </w:tr>
      <w:tr w:rsidR="00C3165E" w:rsidRPr="000B423B" w14:paraId="2D63CA2C" w14:textId="77777777" w:rsidTr="00C3165E">
        <w:trPr>
          <w:trHeight w:val="14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4FAC" w14:textId="77777777" w:rsidR="00C3165E" w:rsidRPr="000B423B" w:rsidRDefault="00C3165E" w:rsidP="00596D86">
            <w:pPr>
              <w:pStyle w:val="NoSpacing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Achievement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48E9" w14:textId="0387E95B" w:rsidR="00C3165E" w:rsidRPr="000B423B" w:rsidRDefault="00A445C7" w:rsidP="00596D86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324.69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BDACD" w14:textId="5C5067D5" w:rsidR="00C3165E" w:rsidRPr="000B423B" w:rsidRDefault="00FB36CC" w:rsidP="00596D86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1331.72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5C13E" w14:textId="3E593B7A" w:rsidR="00C3165E" w:rsidRPr="000B423B" w:rsidRDefault="007D335B" w:rsidP="00596D86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102.03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2809" w14:textId="5818FE1C" w:rsidR="00C3165E" w:rsidRPr="000B423B" w:rsidRDefault="0009387A" w:rsidP="00596D86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1758.44</w:t>
            </w:r>
          </w:p>
        </w:tc>
      </w:tr>
      <w:tr w:rsidR="00C3165E" w:rsidRPr="000B423B" w14:paraId="4B6DED07" w14:textId="77777777" w:rsidTr="00C3165E">
        <w:trPr>
          <w:trHeight w:val="34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FB8D9" w14:textId="77777777" w:rsidR="00C3165E" w:rsidRPr="000B423B" w:rsidRDefault="00C3165E" w:rsidP="00596D86">
            <w:pPr>
              <w:pStyle w:val="NoSpacing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Achievement %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345E1" w14:textId="33D26669" w:rsidR="00C3165E" w:rsidRPr="000B423B" w:rsidRDefault="00234520" w:rsidP="00596D86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44.8</w:t>
            </w:r>
            <w:r w:rsidR="00296DAC" w:rsidRPr="000B423B">
              <w:rPr>
                <w:rFonts w:ascii="Bookman Old Style" w:hAnsi="Bookman Old Style" w:cs="Arial"/>
                <w:sz w:val="24"/>
                <w:szCs w:val="24"/>
              </w:rPr>
              <w:t>2</w:t>
            </w:r>
            <w:r w:rsidR="00600DD7" w:rsidRPr="000B423B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="008E440D" w:rsidRPr="000B423B">
              <w:rPr>
                <w:rFonts w:ascii="Bookman Old Style" w:hAnsi="Bookman Old Style" w:cs="Arial"/>
                <w:sz w:val="24"/>
                <w:szCs w:val="24"/>
              </w:rPr>
              <w:t>%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CBBE7" w14:textId="3F4D2635" w:rsidR="00C3165E" w:rsidRPr="000B423B" w:rsidRDefault="00FB36CC" w:rsidP="00596D86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 w:rsidRPr="000B423B">
              <w:rPr>
                <w:rFonts w:ascii="Bookman Old Style" w:hAnsi="Bookman Old Style" w:cs="Arial"/>
                <w:sz w:val="24"/>
                <w:szCs w:val="24"/>
              </w:rPr>
              <w:t>136.94</w:t>
            </w:r>
            <w:r w:rsidR="00AC2EB1" w:rsidRPr="000B423B">
              <w:rPr>
                <w:rFonts w:ascii="Bookman Old Style" w:hAnsi="Bookman Old Style" w:cs="Arial"/>
                <w:sz w:val="24"/>
                <w:szCs w:val="24"/>
              </w:rPr>
              <w:t xml:space="preserve">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16DBA" w14:textId="31222152" w:rsidR="00C3165E" w:rsidRPr="000B423B" w:rsidRDefault="007D335B" w:rsidP="00596D86">
            <w:pPr>
              <w:pStyle w:val="NoSpacing"/>
              <w:jc w:val="right"/>
              <w:rPr>
                <w:rFonts w:ascii="Bookman Old Style" w:eastAsia="Arial Unicode MS" w:hAnsi="Bookman Old Style" w:cs="Arial"/>
                <w:sz w:val="24"/>
                <w:szCs w:val="24"/>
              </w:rPr>
            </w:pPr>
            <w:r w:rsidRPr="000B423B">
              <w:rPr>
                <w:rFonts w:ascii="Bookman Old Style" w:eastAsia="Arial Unicode MS" w:hAnsi="Bookman Old Style" w:cs="Arial"/>
                <w:sz w:val="24"/>
                <w:szCs w:val="24"/>
              </w:rPr>
              <w:t>61.80%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461F" w14:textId="0958AB96" w:rsidR="00C3165E" w:rsidRPr="000B423B" w:rsidRDefault="0009387A" w:rsidP="00596D86">
            <w:pPr>
              <w:pStyle w:val="NoSpacing"/>
              <w:jc w:val="right"/>
              <w:rPr>
                <w:rFonts w:ascii="Bookman Old Style" w:eastAsia="Arial Unicode MS" w:hAnsi="Bookman Old Style" w:cs="Arial"/>
                <w:sz w:val="24"/>
                <w:szCs w:val="24"/>
              </w:rPr>
            </w:pPr>
            <w:r w:rsidRPr="000B423B">
              <w:rPr>
                <w:rFonts w:ascii="Bookman Old Style" w:eastAsia="Arial Unicode MS" w:hAnsi="Bookman Old Style" w:cs="Arial"/>
                <w:sz w:val="24"/>
                <w:szCs w:val="24"/>
              </w:rPr>
              <w:t>94.44</w:t>
            </w:r>
            <w:r w:rsidR="00CF4358" w:rsidRPr="000B423B">
              <w:rPr>
                <w:rFonts w:ascii="Bookman Old Style" w:eastAsia="Arial Unicode MS" w:hAnsi="Bookman Old Style" w:cs="Arial"/>
                <w:sz w:val="24"/>
                <w:szCs w:val="24"/>
              </w:rPr>
              <w:t xml:space="preserve"> %</w:t>
            </w:r>
          </w:p>
        </w:tc>
      </w:tr>
    </w:tbl>
    <w:p w14:paraId="532AF03F" w14:textId="77777777" w:rsidR="00960975" w:rsidRPr="000B423B" w:rsidRDefault="00960975" w:rsidP="00606973">
      <w:pPr>
        <w:jc w:val="both"/>
        <w:rPr>
          <w:rFonts w:ascii="Bookman Old Style" w:eastAsia="Gungsuh" w:hAnsi="Bookman Old Style" w:cs="Arial"/>
          <w:kern w:val="1"/>
          <w:lang w:eastAsia="ar-SA"/>
        </w:rPr>
      </w:pPr>
    </w:p>
    <w:p w14:paraId="314F7E66" w14:textId="77777777" w:rsidR="00745C8E" w:rsidRPr="000B423B" w:rsidRDefault="00745C8E" w:rsidP="00745C8E">
      <w:pPr>
        <w:jc w:val="both"/>
        <w:rPr>
          <w:rFonts w:ascii="Bookman Old Style" w:eastAsia="Gungsuh" w:hAnsi="Bookman Old Style" w:cs="Arial"/>
          <w:kern w:val="1"/>
          <w:lang w:eastAsia="ar-SA"/>
        </w:rPr>
      </w:pPr>
    </w:p>
    <w:p w14:paraId="51B0DCE8" w14:textId="3DD197D2" w:rsidR="00D62753" w:rsidRPr="000B423B" w:rsidRDefault="00ED6ABB" w:rsidP="00606973">
      <w:pPr>
        <w:pStyle w:val="NoSpacing"/>
        <w:jc w:val="both"/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</w:pPr>
      <w:r w:rsidRPr="000B423B">
        <w:rPr>
          <w:rFonts w:ascii="Bookman Old Style" w:hAnsi="Bookman Old Style" w:cs="Arial"/>
          <w:b/>
          <w:sz w:val="24"/>
          <w:szCs w:val="24"/>
          <w:u w:val="single"/>
        </w:rPr>
        <w:t xml:space="preserve">ACP Achievement in </w:t>
      </w:r>
      <w:r w:rsidR="00D62753" w:rsidRPr="000B423B">
        <w:rPr>
          <w:rFonts w:ascii="Bookman Old Style" w:hAnsi="Bookman Old Style" w:cs="Arial"/>
          <w:b/>
          <w:sz w:val="24"/>
          <w:szCs w:val="24"/>
          <w:u w:val="single"/>
        </w:rPr>
        <w:t>Agri Loans</w:t>
      </w:r>
      <w:r w:rsidRPr="000B423B">
        <w:rPr>
          <w:rFonts w:ascii="Bookman Old Style" w:hAnsi="Bookman Old Style" w:cs="Arial"/>
          <w:b/>
          <w:sz w:val="24"/>
          <w:szCs w:val="24"/>
          <w:u w:val="single"/>
        </w:rPr>
        <w:t xml:space="preserve"> for the </w:t>
      </w:r>
      <w:r w:rsidR="00D62753" w:rsidRPr="000B423B">
        <w:rPr>
          <w:rFonts w:ascii="Bookman Old Style" w:hAnsi="Bookman Old Style" w:cs="Arial"/>
          <w:b/>
          <w:sz w:val="24"/>
          <w:szCs w:val="24"/>
          <w:u w:val="single"/>
        </w:rPr>
        <w:t xml:space="preserve">Quarter </w:t>
      </w:r>
      <w:r w:rsidRPr="000B423B">
        <w:rPr>
          <w:rFonts w:ascii="Bookman Old Style" w:hAnsi="Bookman Old Style" w:cs="Arial"/>
          <w:b/>
          <w:sz w:val="24"/>
          <w:szCs w:val="24"/>
          <w:u w:val="single"/>
        </w:rPr>
        <w:t xml:space="preserve">ending </w:t>
      </w:r>
      <w:r w:rsidR="00253AEB" w:rsidRPr="000B423B">
        <w:rPr>
          <w:rFonts w:ascii="Bookman Old Style" w:hAnsi="Bookman Old Style" w:cs="Arial"/>
          <w:b/>
          <w:sz w:val="24"/>
          <w:szCs w:val="24"/>
          <w:u w:val="single"/>
        </w:rPr>
        <w:t>March 2023</w:t>
      </w:r>
      <w:r w:rsidR="00AA1C24" w:rsidRPr="000B423B">
        <w:rPr>
          <w:rFonts w:ascii="Bookman Old Style" w:hAnsi="Bookman Old Style" w:cs="Arial"/>
          <w:b/>
          <w:sz w:val="24"/>
          <w:szCs w:val="24"/>
          <w:u w:val="single"/>
        </w:rPr>
        <w:t xml:space="preserve"> (</w:t>
      </w:r>
      <w:r w:rsidR="00D62753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 xml:space="preserve">Bank wise details in page </w:t>
      </w:r>
      <w:r w:rsidR="00741691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N</w:t>
      </w:r>
      <w:r w:rsidR="00D62753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o</w:t>
      </w:r>
      <w:r w:rsidR="00BC49E3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.</w:t>
      </w:r>
      <w:r w:rsidR="004840B9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3</w:t>
      </w:r>
      <w:r w:rsidR="00390216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5-36</w:t>
      </w:r>
      <w:r w:rsidR="004840B9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&amp;</w:t>
      </w:r>
      <w:r w:rsidR="00390216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70-71</w:t>
      </w:r>
      <w:r w:rsidR="00AA1C24" w:rsidRPr="000B423B">
        <w:rPr>
          <w:rFonts w:ascii="Bookman Old Style" w:eastAsia="Gungsuh" w:hAnsi="Bookman Old Style" w:cs="Arial"/>
          <w:b/>
          <w:bCs/>
          <w:sz w:val="24"/>
          <w:szCs w:val="24"/>
          <w:u w:val="single"/>
          <w:lang w:eastAsia="ar-SA"/>
        </w:rPr>
        <w:t>)</w:t>
      </w:r>
    </w:p>
    <w:p w14:paraId="09177F8F" w14:textId="77777777" w:rsidR="00BC49E3" w:rsidRPr="000B423B" w:rsidRDefault="00BC49E3" w:rsidP="00800DAC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65854B2B" w14:textId="7ECB68F5" w:rsidR="007D21A1" w:rsidRPr="000B423B" w:rsidRDefault="007D21A1" w:rsidP="00800DAC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  <w:r w:rsidRPr="000B423B">
        <w:rPr>
          <w:rFonts w:ascii="Bookman Old Style" w:hAnsi="Bookman Old Style" w:cs="Arial"/>
          <w:sz w:val="24"/>
          <w:szCs w:val="24"/>
        </w:rPr>
        <w:t>The Total Agriculture Loans sanctioned during</w:t>
      </w:r>
      <w:r w:rsidR="00ED6ABB" w:rsidRPr="000B423B">
        <w:rPr>
          <w:rFonts w:ascii="Bookman Old Style" w:hAnsi="Bookman Old Style" w:cs="Arial"/>
          <w:sz w:val="24"/>
          <w:szCs w:val="24"/>
        </w:rPr>
        <w:t xml:space="preserve"> the Quarter ending</w:t>
      </w:r>
      <w:r w:rsidR="00230B48" w:rsidRPr="000B423B">
        <w:rPr>
          <w:rFonts w:ascii="Bookman Old Style" w:hAnsi="Bookman Old Style" w:cs="Arial"/>
          <w:sz w:val="24"/>
          <w:szCs w:val="24"/>
        </w:rPr>
        <w:t xml:space="preserve"> </w:t>
      </w:r>
      <w:r w:rsidR="00D32C1D" w:rsidRPr="000B423B">
        <w:rPr>
          <w:rFonts w:ascii="Bookman Old Style" w:hAnsi="Bookman Old Style" w:cs="Arial"/>
          <w:sz w:val="24"/>
          <w:szCs w:val="24"/>
        </w:rPr>
        <w:t xml:space="preserve">March </w:t>
      </w:r>
      <w:r w:rsidR="00954F99" w:rsidRPr="000B423B">
        <w:rPr>
          <w:rFonts w:ascii="Bookman Old Style" w:hAnsi="Bookman Old Style" w:cs="Arial"/>
          <w:sz w:val="24"/>
          <w:szCs w:val="24"/>
        </w:rPr>
        <w:t>202</w:t>
      </w:r>
      <w:r w:rsidR="00D32C1D" w:rsidRPr="000B423B">
        <w:rPr>
          <w:rFonts w:ascii="Bookman Old Style" w:hAnsi="Bookman Old Style" w:cs="Arial"/>
          <w:sz w:val="24"/>
          <w:szCs w:val="24"/>
        </w:rPr>
        <w:t>3</w:t>
      </w:r>
      <w:r w:rsidRPr="000B423B">
        <w:rPr>
          <w:rFonts w:ascii="Bookman Old Style" w:hAnsi="Bookman Old Style" w:cs="Arial"/>
          <w:sz w:val="24"/>
          <w:szCs w:val="24"/>
        </w:rPr>
        <w:t xml:space="preserve"> is </w:t>
      </w:r>
      <w:r w:rsidR="008C5D04" w:rsidRPr="000B423B">
        <w:rPr>
          <w:rFonts w:ascii="Bookman Old Style" w:hAnsi="Arial" w:cs="Arial"/>
          <w:sz w:val="24"/>
          <w:szCs w:val="24"/>
        </w:rPr>
        <w:t>₹</w:t>
      </w:r>
      <w:r w:rsidR="00C0015B" w:rsidRPr="000B423B">
        <w:rPr>
          <w:rFonts w:ascii="Bookman Old Style" w:hAnsi="Bookman Old Style" w:cs="Arial"/>
          <w:sz w:val="24"/>
          <w:szCs w:val="24"/>
        </w:rPr>
        <w:t>.</w:t>
      </w:r>
      <w:r w:rsidR="00253AEB" w:rsidRPr="000B423B">
        <w:rPr>
          <w:rFonts w:ascii="Bookman Old Style" w:hAnsi="Bookman Old Style" w:cs="Arial"/>
          <w:sz w:val="24"/>
          <w:szCs w:val="24"/>
        </w:rPr>
        <w:t xml:space="preserve">324.69 </w:t>
      </w:r>
      <w:r w:rsidRPr="000B423B">
        <w:rPr>
          <w:rFonts w:ascii="Bookman Old Style" w:hAnsi="Bookman Old Style" w:cs="Arial"/>
          <w:b/>
          <w:bCs/>
          <w:sz w:val="24"/>
          <w:szCs w:val="24"/>
        </w:rPr>
        <w:t>Cr</w:t>
      </w:r>
      <w:r w:rsidR="00511703" w:rsidRPr="000B423B">
        <w:rPr>
          <w:rFonts w:ascii="Bookman Old Style" w:hAnsi="Bookman Old Style" w:cs="Arial"/>
          <w:b/>
          <w:bCs/>
          <w:sz w:val="24"/>
          <w:szCs w:val="24"/>
        </w:rPr>
        <w:t>ores</w:t>
      </w:r>
      <w:r w:rsidRPr="000B423B">
        <w:rPr>
          <w:rFonts w:ascii="Bookman Old Style" w:hAnsi="Bookman Old Style" w:cs="Arial"/>
          <w:sz w:val="24"/>
          <w:szCs w:val="24"/>
        </w:rPr>
        <w:t xml:space="preserve">, out of which </w:t>
      </w:r>
      <w:r w:rsidR="00E33845" w:rsidRPr="000B423B">
        <w:rPr>
          <w:rFonts w:ascii="Bookman Old Style" w:hAnsi="Bookman Old Style" w:cs="Arial"/>
          <w:sz w:val="24"/>
          <w:szCs w:val="24"/>
        </w:rPr>
        <w:t>17956</w:t>
      </w:r>
      <w:r w:rsidR="008A52EF" w:rsidRPr="000B423B">
        <w:rPr>
          <w:rFonts w:ascii="Bookman Old Style" w:hAnsi="Bookman Old Style" w:cs="Arial"/>
          <w:sz w:val="24"/>
          <w:szCs w:val="24"/>
        </w:rPr>
        <w:t xml:space="preserve"> KCC </w:t>
      </w:r>
      <w:r w:rsidR="00241629" w:rsidRPr="000B423B">
        <w:rPr>
          <w:rFonts w:ascii="Bookman Old Style" w:hAnsi="Bookman Old Style" w:cs="Arial"/>
          <w:sz w:val="24"/>
          <w:szCs w:val="24"/>
        </w:rPr>
        <w:t xml:space="preserve">loans </w:t>
      </w:r>
      <w:r w:rsidR="00A54AD9" w:rsidRPr="000B423B">
        <w:rPr>
          <w:rFonts w:ascii="Bookman Old Style" w:hAnsi="Bookman Old Style" w:cs="Arial"/>
          <w:sz w:val="24"/>
          <w:szCs w:val="24"/>
        </w:rPr>
        <w:t xml:space="preserve">accounts </w:t>
      </w:r>
      <w:r w:rsidR="00241629" w:rsidRPr="000B423B">
        <w:rPr>
          <w:rFonts w:ascii="Bookman Old Style" w:hAnsi="Bookman Old Style" w:cs="Arial"/>
          <w:sz w:val="24"/>
          <w:szCs w:val="24"/>
        </w:rPr>
        <w:t>were</w:t>
      </w:r>
      <w:r w:rsidRPr="000B423B">
        <w:rPr>
          <w:rFonts w:ascii="Bookman Old Style" w:hAnsi="Bookman Old Style" w:cs="Arial"/>
          <w:sz w:val="24"/>
          <w:szCs w:val="24"/>
        </w:rPr>
        <w:t xml:space="preserve"> sanctioned </w:t>
      </w:r>
      <w:r w:rsidRPr="000B423B">
        <w:rPr>
          <w:rFonts w:ascii="Bookman Old Style" w:hAnsi="Bookman Old Style" w:cs="Arial"/>
          <w:b/>
          <w:bCs/>
          <w:sz w:val="24"/>
          <w:szCs w:val="24"/>
        </w:rPr>
        <w:t xml:space="preserve">for </w:t>
      </w:r>
      <w:r w:rsidR="00387E01" w:rsidRPr="000B423B">
        <w:rPr>
          <w:rFonts w:ascii="Bookman Old Style" w:hAnsi="Arial" w:cs="Arial"/>
          <w:b/>
          <w:bCs/>
          <w:sz w:val="24"/>
          <w:szCs w:val="24"/>
        </w:rPr>
        <w:t>₹</w:t>
      </w:r>
      <w:r w:rsidR="00E05A5A" w:rsidRPr="000B423B">
        <w:rPr>
          <w:rFonts w:ascii="Bookman Old Style" w:hAnsi="Bookman Old Style" w:cs="Arial"/>
          <w:b/>
          <w:bCs/>
          <w:sz w:val="24"/>
          <w:szCs w:val="24"/>
        </w:rPr>
        <w:t>.</w:t>
      </w:r>
      <w:r w:rsidR="00E33845" w:rsidRPr="000B423B">
        <w:rPr>
          <w:rFonts w:ascii="Bookman Old Style" w:hAnsi="Bookman Old Style" w:cs="Arial"/>
          <w:b/>
          <w:bCs/>
          <w:sz w:val="24"/>
          <w:szCs w:val="24"/>
        </w:rPr>
        <w:t xml:space="preserve">132.06 </w:t>
      </w:r>
      <w:r w:rsidR="008539B7" w:rsidRPr="000B423B">
        <w:rPr>
          <w:rFonts w:ascii="Bookman Old Style" w:hAnsi="Bookman Old Style" w:cs="Arial"/>
          <w:b/>
          <w:bCs/>
          <w:sz w:val="24"/>
          <w:szCs w:val="24"/>
        </w:rPr>
        <w:t>Cr</w:t>
      </w:r>
      <w:r w:rsidR="00511703" w:rsidRPr="000B423B">
        <w:rPr>
          <w:rFonts w:ascii="Bookman Old Style" w:hAnsi="Bookman Old Style" w:cs="Arial"/>
          <w:b/>
          <w:bCs/>
          <w:sz w:val="24"/>
          <w:szCs w:val="24"/>
        </w:rPr>
        <w:t>ores</w:t>
      </w:r>
      <w:r w:rsidRPr="000B423B">
        <w:rPr>
          <w:rFonts w:ascii="Bookman Old Style" w:hAnsi="Bookman Old Style" w:cs="Arial"/>
          <w:sz w:val="24"/>
          <w:szCs w:val="24"/>
        </w:rPr>
        <w:t>.</w:t>
      </w:r>
    </w:p>
    <w:p w14:paraId="45A18FA1" w14:textId="77777777" w:rsidR="001113C7" w:rsidRPr="000B423B" w:rsidRDefault="001113C7" w:rsidP="00800DAC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</w:p>
    <w:p w14:paraId="6F5221C4" w14:textId="6AF687B5" w:rsidR="00E8349D" w:rsidRPr="000B423B" w:rsidRDefault="009572F1" w:rsidP="00606973">
      <w:pPr>
        <w:widowControl w:val="0"/>
        <w:tabs>
          <w:tab w:val="center" w:pos="4535"/>
        </w:tabs>
        <w:suppressAutoHyphens/>
        <w:spacing w:before="120" w:after="120"/>
        <w:jc w:val="both"/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</w:pPr>
      <w:r w:rsidRPr="000B423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Agenda</w:t>
      </w:r>
      <w:r w:rsidR="00051D36" w:rsidRPr="000B423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 xml:space="preserve"> 4</w:t>
      </w:r>
      <w:r w:rsidR="00E8349D" w:rsidRPr="000B423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:</w:t>
      </w:r>
    </w:p>
    <w:p w14:paraId="3CE6446E" w14:textId="1244F780" w:rsidR="00D62753" w:rsidRPr="000B423B" w:rsidRDefault="00D62753" w:rsidP="00606973">
      <w:pPr>
        <w:widowControl w:val="0"/>
        <w:tabs>
          <w:tab w:val="center" w:pos="4535"/>
        </w:tabs>
        <w:suppressAutoHyphens/>
        <w:spacing w:before="120" w:after="120"/>
        <w:jc w:val="both"/>
        <w:rPr>
          <w:rFonts w:ascii="Bookman Old Style" w:eastAsia="Gungsuh" w:hAnsi="Bookman Old Style" w:cs="Arial"/>
          <w:b/>
          <w:bCs/>
          <w:kern w:val="1"/>
          <w:lang w:eastAsia="ar-SA"/>
        </w:rPr>
      </w:pPr>
      <w:r w:rsidRPr="000B423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 xml:space="preserve">Government Sponsored </w:t>
      </w:r>
      <w:r w:rsidR="00713ECC" w:rsidRPr="000B423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Sche</w:t>
      </w:r>
      <w:r w:rsidR="00713ECC" w:rsidRPr="000B423B">
        <w:rPr>
          <w:rFonts w:ascii="Bookman Old Style" w:eastAsia="Gungsuh" w:hAnsi="Bookman Old Style" w:cs="Arial"/>
          <w:b/>
          <w:kern w:val="1"/>
          <w:u w:val="single"/>
          <w:lang w:eastAsia="ar-SA"/>
        </w:rPr>
        <w:t>me</w:t>
      </w:r>
      <w:r w:rsidR="00955263" w:rsidRPr="000B423B">
        <w:rPr>
          <w:rFonts w:ascii="Bookman Old Style" w:eastAsia="Gungsuh" w:hAnsi="Bookman Old Style" w:cs="Arial"/>
          <w:b/>
          <w:kern w:val="1"/>
          <w:u w:val="single"/>
          <w:lang w:eastAsia="ar-SA"/>
        </w:rPr>
        <w:t xml:space="preserve"> </w:t>
      </w:r>
      <w:r w:rsidRPr="000B423B">
        <w:rPr>
          <w:rFonts w:ascii="Bookman Old Style" w:eastAsia="Gungsuh" w:hAnsi="Bookman Old Style" w:cs="Arial"/>
          <w:b/>
          <w:bCs/>
          <w:kern w:val="1"/>
          <w:u w:val="single"/>
          <w:lang w:eastAsia="ar-SA"/>
        </w:rPr>
        <w:t>Implementation of PMEGP Scheme</w:t>
      </w:r>
      <w:r w:rsidRPr="000B423B">
        <w:rPr>
          <w:rFonts w:ascii="Bookman Old Style" w:eastAsia="Gungsuh" w:hAnsi="Bookman Old Style" w:cs="Arial"/>
          <w:b/>
          <w:bCs/>
          <w:kern w:val="1"/>
          <w:lang w:eastAsia="ar-SA"/>
        </w:rPr>
        <w:t xml:space="preserve">: </w:t>
      </w:r>
    </w:p>
    <w:p w14:paraId="68DBFCE9" w14:textId="77777777" w:rsidR="009A66CA" w:rsidRPr="000B423B" w:rsidRDefault="00D62753" w:rsidP="00E32CCF">
      <w:pPr>
        <w:pStyle w:val="NoSpacing"/>
        <w:numPr>
          <w:ilvl w:val="0"/>
          <w:numId w:val="1"/>
        </w:numPr>
        <w:jc w:val="both"/>
        <w:rPr>
          <w:rFonts w:ascii="Bookman Old Style" w:hAnsi="Bookman Old Style" w:cs="Arial"/>
          <w:sz w:val="24"/>
          <w:szCs w:val="24"/>
        </w:rPr>
      </w:pPr>
      <w:r w:rsidRPr="000B423B">
        <w:rPr>
          <w:rFonts w:ascii="Bookman Old Style" w:hAnsi="Bookman Old Style" w:cs="Arial"/>
          <w:b/>
          <w:bCs/>
          <w:sz w:val="24"/>
          <w:szCs w:val="24"/>
          <w:u w:val="single"/>
        </w:rPr>
        <w:t>Prime Minister Employment Generation Program (PMEGP</w:t>
      </w:r>
      <w:r w:rsidRPr="000B423B">
        <w:rPr>
          <w:rFonts w:ascii="Bookman Old Style" w:hAnsi="Bookman Old Style" w:cs="Arial"/>
          <w:sz w:val="24"/>
          <w:szCs w:val="24"/>
        </w:rPr>
        <w:t>)</w:t>
      </w:r>
    </w:p>
    <w:p w14:paraId="5A826563" w14:textId="4FDEE7FA" w:rsidR="001D2052" w:rsidRDefault="00D62753" w:rsidP="00800DAC">
      <w:pPr>
        <w:pStyle w:val="NoSpacing"/>
        <w:ind w:left="1080"/>
        <w:jc w:val="both"/>
        <w:rPr>
          <w:rFonts w:ascii="Bookman Old Style" w:hAnsi="Bookman Old Style" w:cs="Arial"/>
          <w:sz w:val="24"/>
          <w:szCs w:val="24"/>
        </w:rPr>
      </w:pPr>
      <w:r w:rsidRPr="000B423B">
        <w:rPr>
          <w:rFonts w:ascii="Bookman Old Style" w:hAnsi="Bookman Old Style" w:cs="Arial"/>
          <w:sz w:val="24"/>
          <w:szCs w:val="24"/>
        </w:rPr>
        <w:t>PMEG</w:t>
      </w:r>
      <w:r w:rsidR="00BA2A6D" w:rsidRPr="000B423B">
        <w:rPr>
          <w:rFonts w:ascii="Bookman Old Style" w:hAnsi="Bookman Old Style" w:cs="Arial"/>
          <w:sz w:val="24"/>
          <w:szCs w:val="24"/>
        </w:rPr>
        <w:t>P</w:t>
      </w:r>
      <w:r w:rsidR="00C05640" w:rsidRPr="000B423B">
        <w:rPr>
          <w:rFonts w:ascii="Bookman Old Style" w:hAnsi="Bookman Old Style" w:cs="Arial"/>
          <w:sz w:val="24"/>
          <w:szCs w:val="24"/>
        </w:rPr>
        <w:t xml:space="preserve"> – </w:t>
      </w:r>
      <w:r w:rsidR="00D32ABB" w:rsidRPr="000B423B">
        <w:rPr>
          <w:rFonts w:ascii="Bookman Old Style" w:hAnsi="Bookman Old Style" w:cs="Arial"/>
          <w:sz w:val="24"/>
          <w:szCs w:val="24"/>
        </w:rPr>
        <w:t xml:space="preserve">Banks have sanctioned </w:t>
      </w:r>
      <w:r w:rsidR="00EC4E41">
        <w:rPr>
          <w:rFonts w:ascii="Bookman Old Style" w:hAnsi="Bookman Old Style" w:cs="Arial"/>
          <w:sz w:val="24"/>
          <w:szCs w:val="24"/>
        </w:rPr>
        <w:t>893</w:t>
      </w:r>
      <w:r w:rsidR="00D32ABB" w:rsidRPr="000B423B">
        <w:rPr>
          <w:rFonts w:ascii="Bookman Old Style" w:hAnsi="Bookman Old Style" w:cs="Arial"/>
          <w:sz w:val="24"/>
          <w:szCs w:val="24"/>
        </w:rPr>
        <w:t xml:space="preserve"> </w:t>
      </w:r>
      <w:r w:rsidR="000710CA" w:rsidRPr="000B423B">
        <w:rPr>
          <w:rFonts w:ascii="Bookman Old Style" w:hAnsi="Bookman Old Style" w:cs="Arial"/>
          <w:sz w:val="24"/>
          <w:szCs w:val="24"/>
        </w:rPr>
        <w:t xml:space="preserve">PMEGP </w:t>
      </w:r>
      <w:r w:rsidR="00D32ABB" w:rsidRPr="000B423B">
        <w:rPr>
          <w:rFonts w:ascii="Bookman Old Style" w:hAnsi="Bookman Old Style" w:cs="Arial"/>
          <w:sz w:val="24"/>
          <w:szCs w:val="24"/>
        </w:rPr>
        <w:t xml:space="preserve">loan proposals for Rs.24.35 Crores </w:t>
      </w:r>
      <w:r w:rsidR="009460AF" w:rsidRPr="000B423B">
        <w:rPr>
          <w:rFonts w:ascii="Bookman Old Style" w:hAnsi="Bookman Old Style" w:cs="Arial"/>
          <w:sz w:val="24"/>
          <w:szCs w:val="24"/>
        </w:rPr>
        <w:t xml:space="preserve">margin money, </w:t>
      </w:r>
      <w:r w:rsidR="00D32ABB" w:rsidRPr="000B423B">
        <w:rPr>
          <w:rFonts w:ascii="Bookman Old Style" w:hAnsi="Bookman Old Style" w:cs="Arial"/>
          <w:sz w:val="24"/>
          <w:szCs w:val="24"/>
        </w:rPr>
        <w:t xml:space="preserve">against the Target </w:t>
      </w:r>
      <w:r w:rsidR="008B0EE9" w:rsidRPr="000B423B">
        <w:rPr>
          <w:rFonts w:ascii="Bookman Old Style" w:hAnsi="Bookman Old Style" w:cs="Arial"/>
          <w:sz w:val="24"/>
          <w:szCs w:val="24"/>
        </w:rPr>
        <w:t>of 1151</w:t>
      </w:r>
      <w:r w:rsidR="00D32ABB" w:rsidRPr="000B423B">
        <w:rPr>
          <w:rFonts w:ascii="Bookman Old Style" w:hAnsi="Bookman Old Style" w:cs="Arial"/>
          <w:sz w:val="24"/>
          <w:szCs w:val="24"/>
        </w:rPr>
        <w:t xml:space="preserve"> numbers constituting </w:t>
      </w:r>
      <w:r w:rsidR="00EC4E41">
        <w:rPr>
          <w:rFonts w:ascii="Bookman Old Style" w:hAnsi="Bookman Old Style" w:cs="Arial"/>
          <w:sz w:val="24"/>
          <w:szCs w:val="24"/>
        </w:rPr>
        <w:t>77.65</w:t>
      </w:r>
      <w:r w:rsidR="00D32ABB" w:rsidRPr="000B423B">
        <w:rPr>
          <w:rFonts w:ascii="Bookman Old Style" w:hAnsi="Bookman Old Style" w:cs="Arial"/>
          <w:sz w:val="24"/>
          <w:szCs w:val="24"/>
        </w:rPr>
        <w:t>% of achievement during the FY 2022-23.</w:t>
      </w:r>
      <w:r w:rsidR="0083158C" w:rsidRPr="000B423B">
        <w:rPr>
          <w:rFonts w:ascii="Bookman Old Style" w:hAnsi="Bookman Old Style" w:cs="Arial"/>
          <w:sz w:val="24"/>
          <w:szCs w:val="24"/>
        </w:rPr>
        <w:t xml:space="preserve"> Details</w:t>
      </w:r>
      <w:r w:rsidR="00800DAC" w:rsidRPr="000B423B">
        <w:rPr>
          <w:rFonts w:ascii="Bookman Old Style" w:hAnsi="Bookman Old Style" w:cs="Arial"/>
          <w:sz w:val="24"/>
          <w:szCs w:val="24"/>
        </w:rPr>
        <w:t xml:space="preserve"> are</w:t>
      </w:r>
      <w:r w:rsidR="00D32ABB" w:rsidRPr="000B423B">
        <w:rPr>
          <w:rFonts w:ascii="Bookman Old Style" w:hAnsi="Bookman Old Style" w:cs="Arial"/>
          <w:sz w:val="24"/>
          <w:szCs w:val="24"/>
        </w:rPr>
        <w:t xml:space="preserve"> </w:t>
      </w:r>
      <w:r w:rsidRPr="000B423B">
        <w:rPr>
          <w:rFonts w:ascii="Bookman Old Style" w:hAnsi="Bookman Old Style" w:cs="Arial"/>
          <w:sz w:val="24"/>
          <w:szCs w:val="24"/>
        </w:rPr>
        <w:t xml:space="preserve">placed in </w:t>
      </w:r>
      <w:r w:rsidR="006E1161" w:rsidRPr="000B423B">
        <w:rPr>
          <w:rFonts w:ascii="Bookman Old Style" w:hAnsi="Bookman Old Style" w:cs="Arial"/>
          <w:sz w:val="24"/>
          <w:szCs w:val="24"/>
        </w:rPr>
        <w:t xml:space="preserve">page </w:t>
      </w:r>
      <w:r w:rsidR="00741691" w:rsidRPr="000B423B">
        <w:rPr>
          <w:rFonts w:ascii="Bookman Old Style" w:hAnsi="Bookman Old Style" w:cs="Arial"/>
          <w:b/>
          <w:bCs/>
          <w:sz w:val="24"/>
          <w:szCs w:val="24"/>
        </w:rPr>
        <w:t>No.11</w:t>
      </w:r>
      <w:r w:rsidR="006B78EC" w:rsidRPr="000B423B">
        <w:rPr>
          <w:rFonts w:ascii="Bookman Old Style" w:hAnsi="Bookman Old Style" w:cs="Arial"/>
          <w:b/>
          <w:bCs/>
          <w:sz w:val="24"/>
          <w:szCs w:val="24"/>
        </w:rPr>
        <w:t>6</w:t>
      </w:r>
      <w:r w:rsidR="009460AF" w:rsidRPr="000B423B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BB0F33" w:rsidRPr="000B423B">
        <w:rPr>
          <w:rFonts w:ascii="Bookman Old Style" w:hAnsi="Bookman Old Style" w:cs="Arial"/>
          <w:b/>
          <w:bCs/>
          <w:sz w:val="24"/>
          <w:szCs w:val="24"/>
        </w:rPr>
        <w:t>&amp; 12</w:t>
      </w:r>
      <w:r w:rsidR="006B78EC" w:rsidRPr="000B423B">
        <w:rPr>
          <w:rFonts w:ascii="Bookman Old Style" w:hAnsi="Bookman Old Style" w:cs="Arial"/>
          <w:b/>
          <w:bCs/>
          <w:sz w:val="24"/>
          <w:szCs w:val="24"/>
        </w:rPr>
        <w:t>8</w:t>
      </w:r>
      <w:r w:rsidR="00596E70" w:rsidRPr="000B423B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="00284049" w:rsidRPr="000B423B">
        <w:rPr>
          <w:rFonts w:ascii="Bookman Old Style" w:hAnsi="Bookman Old Style" w:cs="Arial"/>
          <w:sz w:val="24"/>
          <w:szCs w:val="24"/>
        </w:rPr>
        <w:t>(</w:t>
      </w:r>
      <w:r w:rsidRPr="000B423B">
        <w:rPr>
          <w:rFonts w:ascii="Bookman Old Style" w:hAnsi="Bookman Old Style" w:cs="Arial"/>
          <w:b/>
          <w:bCs/>
          <w:sz w:val="24"/>
          <w:szCs w:val="24"/>
        </w:rPr>
        <w:t xml:space="preserve">Director, KVIC </w:t>
      </w:r>
      <w:r w:rsidR="00305D4D" w:rsidRPr="000B423B">
        <w:rPr>
          <w:rFonts w:ascii="Bookman Old Style" w:hAnsi="Bookman Old Style" w:cs="Arial"/>
          <w:sz w:val="24"/>
          <w:szCs w:val="24"/>
        </w:rPr>
        <w:t xml:space="preserve">is requested to </w:t>
      </w:r>
      <w:r w:rsidR="00800DAC" w:rsidRPr="000B423B">
        <w:rPr>
          <w:rFonts w:ascii="Bookman Old Style" w:hAnsi="Bookman Old Style" w:cs="Arial"/>
          <w:sz w:val="24"/>
          <w:szCs w:val="24"/>
        </w:rPr>
        <w:t>appraise</w:t>
      </w:r>
      <w:r w:rsidRPr="000B423B">
        <w:rPr>
          <w:rFonts w:ascii="Bookman Old Style" w:hAnsi="Bookman Old Style" w:cs="Arial"/>
          <w:sz w:val="24"/>
          <w:szCs w:val="24"/>
        </w:rPr>
        <w:t xml:space="preserve"> the house</w:t>
      </w:r>
      <w:r w:rsidR="00284049" w:rsidRPr="000B423B">
        <w:rPr>
          <w:rFonts w:ascii="Bookman Old Style" w:hAnsi="Bookman Old Style" w:cs="Arial"/>
          <w:sz w:val="24"/>
          <w:szCs w:val="24"/>
        </w:rPr>
        <w:t>)</w:t>
      </w:r>
      <w:r w:rsidRPr="000B423B">
        <w:rPr>
          <w:rFonts w:ascii="Bookman Old Style" w:hAnsi="Bookman Old Style" w:cs="Arial"/>
          <w:sz w:val="24"/>
          <w:szCs w:val="24"/>
        </w:rPr>
        <w:t>.</w:t>
      </w:r>
    </w:p>
    <w:p w14:paraId="31BA88DB" w14:textId="5C210BD4" w:rsidR="00BA4D7C" w:rsidRDefault="00BA4D7C" w:rsidP="00800DAC">
      <w:pPr>
        <w:pStyle w:val="NoSpacing"/>
        <w:ind w:left="1080"/>
        <w:jc w:val="both"/>
        <w:rPr>
          <w:rFonts w:ascii="Bookman Old Style" w:hAnsi="Bookman Old Style" w:cs="Arial"/>
          <w:sz w:val="24"/>
          <w:szCs w:val="24"/>
        </w:rPr>
      </w:pPr>
    </w:p>
    <w:p w14:paraId="7ACFAEC9" w14:textId="0C714F02" w:rsidR="00BA4D7C" w:rsidRDefault="00BA4D7C" w:rsidP="00800DAC">
      <w:pPr>
        <w:pStyle w:val="NoSpacing"/>
        <w:ind w:left="1080"/>
        <w:jc w:val="both"/>
        <w:rPr>
          <w:rFonts w:ascii="Bookman Old Style" w:hAnsi="Bookman Old Style" w:cs="Arial"/>
          <w:sz w:val="24"/>
          <w:szCs w:val="24"/>
        </w:rPr>
      </w:pPr>
    </w:p>
    <w:p w14:paraId="42D2B1BA" w14:textId="77777777" w:rsidR="00D62753" w:rsidRPr="0065366B" w:rsidRDefault="00D62753" w:rsidP="00E32CCF">
      <w:pPr>
        <w:pStyle w:val="NoSpacing"/>
        <w:numPr>
          <w:ilvl w:val="0"/>
          <w:numId w:val="1"/>
        </w:numPr>
        <w:jc w:val="both"/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  <w:t>National Rural Livelihood</w:t>
      </w:r>
      <w:r w:rsidR="00BC0982"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  <w:t>s</w:t>
      </w:r>
      <w:r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  <w:t xml:space="preserve"> Mission</w:t>
      </w:r>
      <w:r w:rsidR="00BC0982"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  <w:t xml:space="preserve"> Bank Linkage</w:t>
      </w:r>
      <w:r w:rsidRPr="0065366B"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  <w:t>:</w:t>
      </w:r>
    </w:p>
    <w:p w14:paraId="27F91698" w14:textId="77777777" w:rsidR="00484A05" w:rsidRPr="0065366B" w:rsidRDefault="00484A05" w:rsidP="00484A05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</w:pPr>
    </w:p>
    <w:p w14:paraId="19E49FE2" w14:textId="523FF840" w:rsidR="00800DAC" w:rsidRDefault="00BC0982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  <w:r w:rsidRPr="0065366B">
        <w:rPr>
          <w:rFonts w:ascii="Bookman Old Style" w:hAnsi="Bookman Old Style" w:cs="Arial"/>
          <w:sz w:val="24"/>
          <w:szCs w:val="24"/>
        </w:rPr>
        <w:t>The</w:t>
      </w:r>
      <w:r w:rsidR="00E23AF9" w:rsidRPr="0065366B">
        <w:rPr>
          <w:rFonts w:ascii="Bookman Old Style" w:hAnsi="Bookman Old Style" w:cs="Arial"/>
          <w:sz w:val="24"/>
          <w:szCs w:val="24"/>
        </w:rPr>
        <w:t xml:space="preserve"> ACP target</w:t>
      </w:r>
      <w:r w:rsidR="00472ADD">
        <w:rPr>
          <w:rFonts w:ascii="Bookman Old Style" w:hAnsi="Bookman Old Style" w:cs="Arial"/>
          <w:sz w:val="24"/>
          <w:szCs w:val="24"/>
        </w:rPr>
        <w:t xml:space="preserve"> for</w:t>
      </w:r>
      <w:r w:rsidR="000E3C33">
        <w:rPr>
          <w:rFonts w:ascii="Bookman Old Style" w:hAnsi="Bookman Old Style" w:cs="Arial"/>
          <w:sz w:val="24"/>
          <w:szCs w:val="24"/>
        </w:rPr>
        <w:t xml:space="preserve"> SHG</w:t>
      </w:r>
      <w:r w:rsidR="00472ADD">
        <w:rPr>
          <w:rFonts w:ascii="Bookman Old Style" w:hAnsi="Bookman Old Style" w:cs="Arial"/>
          <w:sz w:val="24"/>
          <w:szCs w:val="24"/>
        </w:rPr>
        <w:t xml:space="preserve"> credit linkage</w:t>
      </w:r>
      <w:r w:rsidR="00E23AF9" w:rsidRPr="0065366B">
        <w:rPr>
          <w:rFonts w:ascii="Bookman Old Style" w:hAnsi="Bookman Old Style" w:cs="Arial"/>
          <w:sz w:val="24"/>
          <w:szCs w:val="24"/>
        </w:rPr>
        <w:t xml:space="preserve"> </w:t>
      </w:r>
      <w:r w:rsidR="000E3C33">
        <w:rPr>
          <w:rFonts w:ascii="Bookman Old Style" w:hAnsi="Bookman Old Style" w:cs="Arial"/>
          <w:sz w:val="24"/>
          <w:szCs w:val="24"/>
        </w:rPr>
        <w:t>in</w:t>
      </w:r>
      <w:r w:rsidR="000710CA">
        <w:rPr>
          <w:rFonts w:ascii="Bookman Old Style" w:hAnsi="Bookman Old Style" w:cs="Arial"/>
          <w:sz w:val="24"/>
          <w:szCs w:val="24"/>
        </w:rPr>
        <w:t xml:space="preserve"> </w:t>
      </w:r>
      <w:r w:rsidR="00E23AF9" w:rsidRPr="0065366B">
        <w:rPr>
          <w:rFonts w:ascii="Bookman Old Style" w:hAnsi="Bookman Old Style" w:cs="Arial"/>
          <w:sz w:val="24"/>
          <w:szCs w:val="24"/>
        </w:rPr>
        <w:t>FY 202</w:t>
      </w:r>
      <w:r w:rsidR="000A6799" w:rsidRPr="0065366B">
        <w:rPr>
          <w:rFonts w:ascii="Bookman Old Style" w:hAnsi="Bookman Old Style" w:cs="Arial"/>
          <w:sz w:val="24"/>
          <w:szCs w:val="24"/>
        </w:rPr>
        <w:t>2-23</w:t>
      </w:r>
      <w:r w:rsidR="005833A1">
        <w:rPr>
          <w:rFonts w:ascii="Bookman Old Style" w:hAnsi="Bookman Old Style" w:cs="Arial"/>
          <w:sz w:val="24"/>
          <w:szCs w:val="24"/>
        </w:rPr>
        <w:t xml:space="preserve"> </w:t>
      </w:r>
      <w:r w:rsidR="003E4319" w:rsidRPr="0065366B">
        <w:rPr>
          <w:rFonts w:ascii="Bookman Old Style" w:hAnsi="Bookman Old Style" w:cs="Arial"/>
          <w:sz w:val="24"/>
          <w:szCs w:val="24"/>
        </w:rPr>
        <w:t xml:space="preserve">under NRLM </w:t>
      </w:r>
      <w:r w:rsidR="005833A1">
        <w:rPr>
          <w:rFonts w:ascii="Bookman Old Style" w:hAnsi="Bookman Old Style" w:cs="Arial"/>
          <w:sz w:val="24"/>
          <w:szCs w:val="24"/>
        </w:rPr>
        <w:t xml:space="preserve">is fixed for 14092 </w:t>
      </w:r>
      <w:r w:rsidR="000E3C33">
        <w:rPr>
          <w:rFonts w:ascii="Bookman Old Style" w:hAnsi="Bookman Old Style" w:cs="Arial"/>
          <w:sz w:val="24"/>
          <w:szCs w:val="24"/>
        </w:rPr>
        <w:t>accounts</w:t>
      </w:r>
      <w:r w:rsidR="005833A1">
        <w:rPr>
          <w:rFonts w:ascii="Bookman Old Style" w:hAnsi="Bookman Old Style" w:cs="Arial"/>
          <w:sz w:val="24"/>
          <w:szCs w:val="24"/>
        </w:rPr>
        <w:t>. Out of 10870 loan proposals banks have sanctioned 6702</w:t>
      </w:r>
      <w:r w:rsidR="00BC6319">
        <w:rPr>
          <w:rFonts w:ascii="Bookman Old Style" w:hAnsi="Bookman Old Style" w:cs="Arial"/>
          <w:sz w:val="24"/>
          <w:szCs w:val="24"/>
        </w:rPr>
        <w:t xml:space="preserve"> SHGs</w:t>
      </w:r>
      <w:r w:rsidR="00472ADD">
        <w:rPr>
          <w:rFonts w:ascii="Bookman Old Style" w:hAnsi="Bookman Old Style" w:cs="Arial"/>
          <w:sz w:val="24"/>
          <w:szCs w:val="24"/>
        </w:rPr>
        <w:t xml:space="preserve"> accounts were sanctioned </w:t>
      </w:r>
      <w:r w:rsidR="005833A1">
        <w:rPr>
          <w:rFonts w:ascii="Bookman Old Style" w:hAnsi="Bookman Old Style" w:cs="Arial"/>
          <w:sz w:val="24"/>
          <w:szCs w:val="24"/>
        </w:rPr>
        <w:t xml:space="preserve">for </w:t>
      </w:r>
      <w:r w:rsidR="005833A1" w:rsidRPr="0065366B">
        <w:rPr>
          <w:rFonts w:ascii="Bookman Old Style" w:hAnsi="Arial" w:cs="Arial"/>
          <w:b/>
          <w:bCs/>
          <w:sz w:val="24"/>
          <w:szCs w:val="24"/>
        </w:rPr>
        <w:t>₹</w:t>
      </w:r>
      <w:r w:rsidR="005833A1">
        <w:rPr>
          <w:rFonts w:ascii="Bookman Old Style" w:hAnsi="Arial" w:cs="Arial"/>
          <w:b/>
          <w:bCs/>
          <w:sz w:val="24"/>
          <w:szCs w:val="24"/>
        </w:rPr>
        <w:t xml:space="preserve">.75.63 Crores. </w:t>
      </w:r>
      <w:r w:rsidR="00BA1BA3" w:rsidRPr="0065366B">
        <w:rPr>
          <w:rFonts w:ascii="Bookman Old Style" w:hAnsi="Bookman Old Style" w:cs="Arial"/>
          <w:color w:val="000000"/>
          <w:sz w:val="24"/>
          <w:szCs w:val="24"/>
        </w:rPr>
        <w:t>M</w:t>
      </w:r>
      <w:r w:rsidR="00F11C51" w:rsidRPr="0065366B">
        <w:rPr>
          <w:rFonts w:ascii="Bookman Old Style" w:eastAsia="Gungsuh" w:hAnsi="Bookman Old Style" w:cs="Arial"/>
          <w:b/>
          <w:bCs/>
          <w:sz w:val="24"/>
          <w:szCs w:val="24"/>
        </w:rPr>
        <w:t>SRL</w:t>
      </w:r>
      <w:r w:rsidR="00CA6B7E" w:rsidRPr="0065366B">
        <w:rPr>
          <w:rFonts w:ascii="Bookman Old Style" w:eastAsia="Gungsuh" w:hAnsi="Bookman Old Style" w:cs="Arial"/>
          <w:b/>
          <w:bCs/>
          <w:sz w:val="24"/>
          <w:szCs w:val="24"/>
        </w:rPr>
        <w:t>S</w:t>
      </w:r>
      <w:r w:rsidR="005833A1">
        <w:rPr>
          <w:rFonts w:ascii="Bookman Old Style" w:eastAsia="Gungsuh" w:hAnsi="Bookman Old Style" w:cs="Arial"/>
          <w:b/>
          <w:bCs/>
          <w:sz w:val="24"/>
          <w:szCs w:val="24"/>
        </w:rPr>
        <w:t xml:space="preserve"> </w:t>
      </w:r>
      <w:r w:rsidR="00F51113" w:rsidRPr="0065366B">
        <w:rPr>
          <w:rFonts w:ascii="Bookman Old Style" w:eastAsia="Gungsuh" w:hAnsi="Bookman Old Style" w:cs="Arial"/>
          <w:b/>
          <w:bCs/>
          <w:sz w:val="24"/>
          <w:szCs w:val="24"/>
        </w:rPr>
        <w:t xml:space="preserve">is requested to </w:t>
      </w:r>
      <w:r w:rsidR="00F11C51" w:rsidRPr="0065366B">
        <w:rPr>
          <w:rFonts w:ascii="Bookman Old Style" w:eastAsia="Gungsuh" w:hAnsi="Bookman Old Style" w:cs="Arial"/>
          <w:b/>
          <w:bCs/>
          <w:sz w:val="24"/>
          <w:szCs w:val="24"/>
        </w:rPr>
        <w:t>appraise the House</w:t>
      </w:r>
      <w:r w:rsidR="00F11C51" w:rsidRPr="0065366B">
        <w:rPr>
          <w:rFonts w:ascii="Bookman Old Style" w:eastAsia="Gungsuh" w:hAnsi="Bookman Old Style" w:cs="Arial"/>
          <w:sz w:val="24"/>
          <w:szCs w:val="24"/>
        </w:rPr>
        <w:t>. (</w:t>
      </w:r>
      <w:r w:rsidR="00F11C51" w:rsidRPr="00764993">
        <w:rPr>
          <w:rFonts w:ascii="Bookman Old Style" w:eastAsia="Gungsuh" w:hAnsi="Bookman Old Style" w:cs="Arial"/>
          <w:b/>
          <w:bCs/>
          <w:sz w:val="24"/>
          <w:szCs w:val="24"/>
        </w:rPr>
        <w:t>Details in Page No-</w:t>
      </w:r>
      <w:r w:rsidR="00741691" w:rsidRPr="00764993">
        <w:rPr>
          <w:rFonts w:ascii="Bookman Old Style" w:eastAsia="Gungsuh" w:hAnsi="Bookman Old Style" w:cs="Arial"/>
          <w:b/>
          <w:bCs/>
          <w:sz w:val="24"/>
          <w:szCs w:val="24"/>
        </w:rPr>
        <w:t>1</w:t>
      </w:r>
      <w:r w:rsidR="00472BC0" w:rsidRPr="00764993">
        <w:rPr>
          <w:rFonts w:ascii="Bookman Old Style" w:eastAsia="Gungsuh" w:hAnsi="Bookman Old Style" w:cs="Arial"/>
          <w:b/>
          <w:bCs/>
          <w:sz w:val="24"/>
          <w:szCs w:val="24"/>
        </w:rPr>
        <w:t>27</w:t>
      </w:r>
    </w:p>
    <w:p w14:paraId="7B23887C" w14:textId="1D380A10" w:rsidR="00606DE2" w:rsidRDefault="00606DE2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</w:p>
    <w:p w14:paraId="09E6DBF6" w14:textId="78911F2A" w:rsidR="00606DE2" w:rsidRDefault="00606DE2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</w:p>
    <w:p w14:paraId="7265944D" w14:textId="3DF74C87" w:rsidR="00606DE2" w:rsidRDefault="00606DE2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</w:p>
    <w:p w14:paraId="533FA8F0" w14:textId="4C40ED7B" w:rsidR="00606DE2" w:rsidRDefault="00606DE2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</w:p>
    <w:p w14:paraId="71E36FE8" w14:textId="77777777" w:rsidR="00606DE2" w:rsidRDefault="00606DE2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</w:p>
    <w:p w14:paraId="55DB50AD" w14:textId="77777777" w:rsidR="006B6E5A" w:rsidRPr="0065366B" w:rsidRDefault="006B6E5A" w:rsidP="00800DAC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</w:rPr>
      </w:pPr>
    </w:p>
    <w:p w14:paraId="27FB0F73" w14:textId="5A3DAE07" w:rsidR="00D62753" w:rsidRPr="0065366B" w:rsidRDefault="00D62753" w:rsidP="00E32CCF">
      <w:pPr>
        <w:pStyle w:val="NoSpacing"/>
        <w:numPr>
          <w:ilvl w:val="0"/>
          <w:numId w:val="1"/>
        </w:numPr>
        <w:jc w:val="both"/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eastAsia="Gungsuh" w:hAnsi="Bookman Old Style" w:cs="Arial"/>
          <w:b/>
          <w:bCs/>
          <w:kern w:val="22"/>
          <w:sz w:val="24"/>
          <w:szCs w:val="24"/>
          <w:u w:val="single"/>
        </w:rPr>
        <w:t>Pradhan Mantri Mudra Yoj</w:t>
      </w:r>
      <w:r w:rsidR="00683C30" w:rsidRPr="0065366B">
        <w:rPr>
          <w:rFonts w:ascii="Bookman Old Style" w:eastAsia="Gungsuh" w:hAnsi="Bookman Old Style" w:cs="Arial"/>
          <w:b/>
          <w:bCs/>
          <w:kern w:val="22"/>
          <w:sz w:val="24"/>
          <w:szCs w:val="24"/>
          <w:u w:val="single"/>
        </w:rPr>
        <w:t>a</w:t>
      </w:r>
      <w:r w:rsidRPr="0065366B">
        <w:rPr>
          <w:rFonts w:ascii="Bookman Old Style" w:eastAsia="Gungsuh" w:hAnsi="Bookman Old Style" w:cs="Arial"/>
          <w:b/>
          <w:bCs/>
          <w:kern w:val="22"/>
          <w:sz w:val="24"/>
          <w:szCs w:val="24"/>
          <w:u w:val="single"/>
        </w:rPr>
        <w:t>na</w:t>
      </w:r>
      <w:r w:rsidR="005D0D99">
        <w:rPr>
          <w:rFonts w:ascii="Bookman Old Style" w:eastAsia="Gungsuh" w:hAnsi="Bookman Old Style" w:cs="Arial"/>
          <w:b/>
          <w:bCs/>
          <w:kern w:val="22"/>
          <w:sz w:val="24"/>
          <w:szCs w:val="24"/>
          <w:u w:val="single"/>
        </w:rPr>
        <w:t xml:space="preserve"> </w:t>
      </w:r>
      <w:r w:rsidR="006D0AB4" w:rsidRPr="0065366B">
        <w:rPr>
          <w:rFonts w:ascii="Bookman Old Style" w:eastAsia="Gungsuh" w:hAnsi="Bookman Old Style" w:cs="Arial"/>
          <w:b/>
          <w:bCs/>
          <w:kern w:val="22"/>
          <w:sz w:val="24"/>
          <w:szCs w:val="24"/>
          <w:u w:val="single"/>
        </w:rPr>
        <w:t>(PMMY)</w:t>
      </w:r>
      <w:r w:rsidR="00B74225" w:rsidRPr="0065366B">
        <w:rPr>
          <w:rFonts w:ascii="Bookman Old Style" w:eastAsia="Gungsuh" w:hAnsi="Bookman Old Style" w:cs="Arial"/>
          <w:b/>
          <w:bCs/>
          <w:kern w:val="22"/>
          <w:sz w:val="24"/>
          <w:szCs w:val="24"/>
          <w:u w:val="single"/>
        </w:rPr>
        <w:t>:</w:t>
      </w:r>
    </w:p>
    <w:p w14:paraId="658C811F" w14:textId="77777777" w:rsidR="006D0AB4" w:rsidRPr="0065366B" w:rsidRDefault="006D0AB4" w:rsidP="00A22BFA">
      <w:pPr>
        <w:pStyle w:val="NoSpacing"/>
        <w:ind w:left="1080"/>
        <w:jc w:val="both"/>
        <w:rPr>
          <w:rFonts w:ascii="Bookman Old Style" w:eastAsia="Gungsuh" w:hAnsi="Bookman Old Style" w:cs="Arial"/>
          <w:b/>
          <w:bCs/>
          <w:sz w:val="24"/>
          <w:szCs w:val="24"/>
          <w:u w:val="single"/>
        </w:rPr>
      </w:pPr>
    </w:p>
    <w:p w14:paraId="5A427400" w14:textId="4F03FAF0" w:rsidR="00D62753" w:rsidRPr="0065366B" w:rsidRDefault="00800DAC" w:rsidP="00800DAC">
      <w:pPr>
        <w:pStyle w:val="NoSpacing"/>
        <w:ind w:left="360" w:firstLine="720"/>
        <w:jc w:val="both"/>
        <w:rPr>
          <w:rFonts w:ascii="Bookman Old Style" w:eastAsia="Gungsuh" w:hAnsi="Bookman Old Style" w:cs="Arial"/>
          <w:sz w:val="24"/>
          <w:szCs w:val="24"/>
        </w:rPr>
      </w:pPr>
      <w:proofErr w:type="gramStart"/>
      <w:r w:rsidRPr="0065366B">
        <w:rPr>
          <w:rFonts w:ascii="Bookman Old Style" w:eastAsia="Gungsuh" w:hAnsi="Bookman Old Style" w:cs="Arial"/>
          <w:kern w:val="22"/>
          <w:sz w:val="24"/>
          <w:szCs w:val="24"/>
        </w:rPr>
        <w:t>P</w:t>
      </w:r>
      <w:r w:rsidR="00D62753" w:rsidRPr="0065366B">
        <w:rPr>
          <w:rFonts w:ascii="Bookman Old Style" w:eastAsia="Gungsuh" w:hAnsi="Bookman Old Style" w:cs="Arial"/>
          <w:kern w:val="22"/>
          <w:sz w:val="24"/>
          <w:szCs w:val="24"/>
        </w:rPr>
        <w:t>MMY</w:t>
      </w:r>
      <w:r w:rsidR="00FF13F8">
        <w:rPr>
          <w:rFonts w:ascii="Bookman Old Style" w:eastAsia="Gungsuh" w:hAnsi="Bookman Old Style" w:cs="Arial"/>
          <w:kern w:val="22"/>
          <w:sz w:val="24"/>
          <w:szCs w:val="24"/>
        </w:rPr>
        <w:t xml:space="preserve"> </w:t>
      </w:r>
      <w:r w:rsidR="00D62753" w:rsidRPr="0065366B">
        <w:rPr>
          <w:rFonts w:ascii="Bookman Old Style" w:eastAsia="Gungsuh" w:hAnsi="Bookman Old Style" w:cs="Arial"/>
          <w:kern w:val="22"/>
          <w:sz w:val="24"/>
          <w:szCs w:val="24"/>
        </w:rPr>
        <w:t>:</w:t>
      </w:r>
      <w:proofErr w:type="gramEnd"/>
      <w:r w:rsidR="00D62753" w:rsidRPr="0065366B">
        <w:rPr>
          <w:rFonts w:ascii="Bookman Old Style" w:eastAsia="Gungsuh" w:hAnsi="Bookman Old Style" w:cs="Arial"/>
          <w:kern w:val="22"/>
          <w:sz w:val="24"/>
          <w:szCs w:val="24"/>
        </w:rPr>
        <w:t>-</w:t>
      </w:r>
      <w:r w:rsidR="00FF13F8">
        <w:rPr>
          <w:rFonts w:ascii="Bookman Old Style" w:eastAsia="Gungsuh" w:hAnsi="Bookman Old Style" w:cs="Arial"/>
          <w:kern w:val="22"/>
          <w:sz w:val="24"/>
          <w:szCs w:val="24"/>
        </w:rPr>
        <w:t xml:space="preserve"> </w:t>
      </w:r>
      <w:r w:rsidR="00D62753" w:rsidRPr="0065366B">
        <w:rPr>
          <w:rFonts w:ascii="Bookman Old Style" w:eastAsia="Gungsuh" w:hAnsi="Bookman Old Style" w:cs="Arial"/>
          <w:sz w:val="24"/>
          <w:szCs w:val="24"/>
        </w:rPr>
        <w:t>The loans sanctioned under PMMY during the Quarter-</w:t>
      </w:r>
      <w:r w:rsidR="00955263">
        <w:rPr>
          <w:rFonts w:ascii="Bookman Old Style" w:eastAsia="Gungsuh" w:hAnsi="Bookman Old Style" w:cs="Arial"/>
          <w:sz w:val="24"/>
          <w:szCs w:val="24"/>
        </w:rPr>
        <w:t>4</w:t>
      </w:r>
      <w:r w:rsidR="00D62753" w:rsidRPr="0065366B">
        <w:rPr>
          <w:rFonts w:ascii="Bookman Old Style" w:eastAsia="Gungsuh" w:hAnsi="Bookman Old Style" w:cs="Arial"/>
          <w:sz w:val="24"/>
          <w:szCs w:val="24"/>
        </w:rPr>
        <w:t xml:space="preserve"> of FY 20</w:t>
      </w:r>
      <w:r w:rsidR="00BF4168" w:rsidRPr="0065366B">
        <w:rPr>
          <w:rFonts w:ascii="Bookman Old Style" w:eastAsia="Gungsuh" w:hAnsi="Bookman Old Style" w:cs="Arial"/>
          <w:sz w:val="24"/>
          <w:szCs w:val="24"/>
        </w:rPr>
        <w:t>2</w:t>
      </w:r>
      <w:r w:rsidR="001948EC" w:rsidRPr="0065366B">
        <w:rPr>
          <w:rFonts w:ascii="Bookman Old Style" w:eastAsia="Gungsuh" w:hAnsi="Bookman Old Style" w:cs="Arial"/>
          <w:sz w:val="24"/>
          <w:szCs w:val="24"/>
        </w:rPr>
        <w:t>2-23</w:t>
      </w:r>
      <w:r w:rsidR="00F165D9">
        <w:rPr>
          <w:rFonts w:ascii="Bookman Old Style" w:eastAsia="Gungsuh" w:hAnsi="Bookman Old Style" w:cs="Arial"/>
          <w:sz w:val="24"/>
          <w:szCs w:val="24"/>
        </w:rPr>
        <w:t xml:space="preserve"> </w:t>
      </w:r>
      <w:r w:rsidR="00395E16" w:rsidRPr="0065366B">
        <w:rPr>
          <w:rFonts w:ascii="Bookman Old Style" w:eastAsia="Gungsuh" w:hAnsi="Bookman Old Style" w:cs="Arial"/>
          <w:sz w:val="24"/>
          <w:szCs w:val="24"/>
        </w:rPr>
        <w:t>is</w:t>
      </w:r>
      <w:r w:rsidR="00D62753" w:rsidRPr="0065366B">
        <w:rPr>
          <w:rFonts w:ascii="Bookman Old Style" w:eastAsia="Gungsuh" w:hAnsi="Bookman Old Style" w:cs="Arial"/>
          <w:sz w:val="24"/>
          <w:szCs w:val="24"/>
        </w:rPr>
        <w:t xml:space="preserve"> as under:</w:t>
      </w:r>
    </w:p>
    <w:p w14:paraId="426919DD" w14:textId="77777777" w:rsidR="001C1E17" w:rsidRPr="0065366B" w:rsidRDefault="001C1E17" w:rsidP="00800DAC">
      <w:pPr>
        <w:pStyle w:val="NoSpacing"/>
        <w:ind w:left="360" w:firstLine="720"/>
        <w:jc w:val="both"/>
        <w:rPr>
          <w:rFonts w:ascii="Bookman Old Style" w:eastAsia="Gungsuh" w:hAnsi="Bookman Old Style" w:cs="Arial"/>
          <w:sz w:val="24"/>
          <w:szCs w:val="24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782"/>
        <w:gridCol w:w="2361"/>
        <w:gridCol w:w="1688"/>
        <w:gridCol w:w="4717"/>
      </w:tblGrid>
      <w:tr w:rsidR="00D62753" w:rsidRPr="0065366B" w14:paraId="5780980E" w14:textId="77777777" w:rsidTr="007A0EEC">
        <w:trPr>
          <w:trHeight w:val="202"/>
        </w:trPr>
        <w:tc>
          <w:tcPr>
            <w:tcW w:w="1782" w:type="dxa"/>
            <w:vMerge w:val="restart"/>
            <w:vAlign w:val="center"/>
          </w:tcPr>
          <w:p w14:paraId="2EF348CB" w14:textId="77777777" w:rsidR="00D62753" w:rsidRPr="0065366B" w:rsidRDefault="00D62753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049" w:type="dxa"/>
            <w:gridSpan w:val="2"/>
          </w:tcPr>
          <w:p w14:paraId="463C54A2" w14:textId="77777777" w:rsidR="00D62753" w:rsidRPr="0065366B" w:rsidRDefault="00800DAC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Sanctioned (Amt.</w:t>
            </w:r>
            <w:r w:rsidR="00D62753"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in </w:t>
            </w:r>
            <w:r w:rsidR="008E36C0"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Crores</w:t>
            </w:r>
            <w:r w:rsidR="00D62753"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717" w:type="dxa"/>
          </w:tcPr>
          <w:p w14:paraId="1387B03C" w14:textId="77777777" w:rsidR="00D62753" w:rsidRPr="0065366B" w:rsidRDefault="00D62753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Outstanding</w:t>
            </w:r>
            <w:r w:rsidR="00800DAC"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(Amt.</w:t>
            </w:r>
            <w:r w:rsidR="008E36C0"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 xml:space="preserve"> in Crores)</w:t>
            </w:r>
          </w:p>
        </w:tc>
      </w:tr>
      <w:tr w:rsidR="00D62753" w:rsidRPr="0065366B" w14:paraId="4CDF5919" w14:textId="77777777" w:rsidTr="007A0EEC">
        <w:trPr>
          <w:trHeight w:val="284"/>
        </w:trPr>
        <w:tc>
          <w:tcPr>
            <w:tcW w:w="1782" w:type="dxa"/>
            <w:vMerge/>
          </w:tcPr>
          <w:p w14:paraId="7B563C01" w14:textId="77777777" w:rsidR="00D62753" w:rsidRPr="0065366B" w:rsidRDefault="00D62753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</w:p>
        </w:tc>
        <w:tc>
          <w:tcPr>
            <w:tcW w:w="2361" w:type="dxa"/>
          </w:tcPr>
          <w:p w14:paraId="3648FA49" w14:textId="77777777" w:rsidR="00D62753" w:rsidRPr="0065366B" w:rsidRDefault="00D62753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688" w:type="dxa"/>
          </w:tcPr>
          <w:p w14:paraId="28B6892E" w14:textId="77777777" w:rsidR="00D62753" w:rsidRPr="0065366B" w:rsidRDefault="00D62753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4717" w:type="dxa"/>
            <w:vAlign w:val="center"/>
          </w:tcPr>
          <w:p w14:paraId="7DB96833" w14:textId="77777777" w:rsidR="00D62753" w:rsidRPr="0065366B" w:rsidRDefault="00D62753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bCs/>
                <w:sz w:val="24"/>
                <w:szCs w:val="24"/>
              </w:rPr>
              <w:t>Amt.</w:t>
            </w:r>
          </w:p>
        </w:tc>
      </w:tr>
      <w:tr w:rsidR="00472FC2" w:rsidRPr="0065366B" w14:paraId="6C1F5001" w14:textId="77777777" w:rsidTr="007A0EEC">
        <w:trPr>
          <w:trHeight w:val="202"/>
        </w:trPr>
        <w:tc>
          <w:tcPr>
            <w:tcW w:w="1782" w:type="dxa"/>
          </w:tcPr>
          <w:p w14:paraId="2F69F591" w14:textId="77777777" w:rsidR="00472FC2" w:rsidRPr="0065366B" w:rsidRDefault="00472FC2" w:rsidP="00800DAC">
            <w:pPr>
              <w:pStyle w:val="NoSpacing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65366B">
              <w:rPr>
                <w:rFonts w:ascii="Bookman Old Style" w:hAnsi="Bookman Old Style" w:cs="Arial"/>
                <w:b/>
                <w:sz w:val="24"/>
                <w:szCs w:val="24"/>
              </w:rPr>
              <w:t>Sishu</w:t>
            </w:r>
            <w:proofErr w:type="spellEnd"/>
          </w:p>
        </w:tc>
        <w:tc>
          <w:tcPr>
            <w:tcW w:w="2361" w:type="dxa"/>
          </w:tcPr>
          <w:p w14:paraId="0EFE7B38" w14:textId="1988E59D" w:rsidR="00472FC2" w:rsidRPr="0065366B" w:rsidRDefault="00253A88" w:rsidP="00800DAC">
            <w:pPr>
              <w:pStyle w:val="NoSpacing"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10834</w:t>
            </w:r>
          </w:p>
        </w:tc>
        <w:tc>
          <w:tcPr>
            <w:tcW w:w="1688" w:type="dxa"/>
          </w:tcPr>
          <w:p w14:paraId="53C9C804" w14:textId="4457965D" w:rsidR="00472FC2" w:rsidRPr="0065366B" w:rsidRDefault="00253A88" w:rsidP="001663E7">
            <w:pPr>
              <w:pStyle w:val="NoSpacing"/>
              <w:jc w:val="right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40.74</w:t>
            </w:r>
          </w:p>
        </w:tc>
        <w:tc>
          <w:tcPr>
            <w:tcW w:w="4717" w:type="dxa"/>
            <w:vAlign w:val="center"/>
          </w:tcPr>
          <w:p w14:paraId="7F0B35E3" w14:textId="4D25601F" w:rsidR="00472FC2" w:rsidRPr="0065366B" w:rsidRDefault="00AC675D" w:rsidP="00800DAC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50.63</w:t>
            </w:r>
          </w:p>
        </w:tc>
      </w:tr>
      <w:tr w:rsidR="002704A6" w:rsidRPr="0065366B" w14:paraId="43C040F9" w14:textId="77777777" w:rsidTr="007A0EEC">
        <w:trPr>
          <w:trHeight w:val="202"/>
        </w:trPr>
        <w:tc>
          <w:tcPr>
            <w:tcW w:w="1782" w:type="dxa"/>
          </w:tcPr>
          <w:p w14:paraId="084D3106" w14:textId="77777777" w:rsidR="002704A6" w:rsidRPr="0065366B" w:rsidRDefault="002704A6" w:rsidP="00800DAC">
            <w:pPr>
              <w:pStyle w:val="NoSpacing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sz w:val="24"/>
                <w:szCs w:val="24"/>
              </w:rPr>
              <w:t>Kishore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E73FF" w14:textId="7C99800D" w:rsidR="002704A6" w:rsidRPr="0065366B" w:rsidRDefault="00253A88" w:rsidP="00800DAC">
            <w:pPr>
              <w:pStyle w:val="NoSpacing"/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9350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4B5B0" w14:textId="7078CBEB" w:rsidR="002704A6" w:rsidRPr="0065366B" w:rsidRDefault="00253A88" w:rsidP="00800DAC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136.41</w:t>
            </w:r>
          </w:p>
        </w:tc>
        <w:tc>
          <w:tcPr>
            <w:tcW w:w="4717" w:type="dxa"/>
            <w:vAlign w:val="center"/>
          </w:tcPr>
          <w:p w14:paraId="120ACF52" w14:textId="6F0182D4" w:rsidR="002704A6" w:rsidRPr="0065366B" w:rsidRDefault="00AC675D" w:rsidP="00800DAC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212.65</w:t>
            </w:r>
          </w:p>
        </w:tc>
      </w:tr>
      <w:tr w:rsidR="002704A6" w:rsidRPr="0065366B" w14:paraId="5D06DC18" w14:textId="77777777" w:rsidTr="007A0EEC">
        <w:trPr>
          <w:trHeight w:val="202"/>
        </w:trPr>
        <w:tc>
          <w:tcPr>
            <w:tcW w:w="1782" w:type="dxa"/>
          </w:tcPr>
          <w:p w14:paraId="41897589" w14:textId="77777777" w:rsidR="002704A6" w:rsidRPr="0065366B" w:rsidRDefault="002704A6" w:rsidP="00800DAC">
            <w:pPr>
              <w:pStyle w:val="NoSpacing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proofErr w:type="spellStart"/>
            <w:r w:rsidRPr="0065366B">
              <w:rPr>
                <w:rFonts w:ascii="Bookman Old Style" w:hAnsi="Bookman Old Style" w:cs="Arial"/>
                <w:b/>
                <w:sz w:val="24"/>
                <w:szCs w:val="24"/>
              </w:rPr>
              <w:t>Tarun</w:t>
            </w:r>
            <w:proofErr w:type="spellEnd"/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EE3E2" w14:textId="135060B2" w:rsidR="002704A6" w:rsidRPr="0065366B" w:rsidRDefault="00253A88" w:rsidP="00800DAC">
            <w:pPr>
              <w:pStyle w:val="NoSpacing"/>
              <w:jc w:val="center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92A26" w14:textId="046F1E04" w:rsidR="002704A6" w:rsidRPr="0065366B" w:rsidRDefault="00253A88" w:rsidP="00800DAC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109.64</w:t>
            </w:r>
          </w:p>
        </w:tc>
        <w:tc>
          <w:tcPr>
            <w:tcW w:w="4717" w:type="dxa"/>
            <w:vAlign w:val="center"/>
          </w:tcPr>
          <w:p w14:paraId="1442AD81" w14:textId="0222AF10" w:rsidR="002704A6" w:rsidRPr="0065366B" w:rsidRDefault="00AC675D" w:rsidP="00800DAC">
            <w:pPr>
              <w:pStyle w:val="NoSpacing"/>
              <w:jc w:val="right"/>
              <w:rPr>
                <w:rFonts w:ascii="Bookman Old Style" w:hAnsi="Bookman Old Style" w:cs="Arial"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color w:val="000000"/>
                <w:sz w:val="24"/>
                <w:szCs w:val="24"/>
              </w:rPr>
              <w:t>161.92</w:t>
            </w:r>
          </w:p>
        </w:tc>
      </w:tr>
      <w:tr w:rsidR="002704A6" w:rsidRPr="0065366B" w14:paraId="6CA89523" w14:textId="77777777" w:rsidTr="007A0EEC">
        <w:trPr>
          <w:trHeight w:val="202"/>
        </w:trPr>
        <w:tc>
          <w:tcPr>
            <w:tcW w:w="1782" w:type="dxa"/>
          </w:tcPr>
          <w:p w14:paraId="6B366154" w14:textId="77777777" w:rsidR="002704A6" w:rsidRPr="0065366B" w:rsidRDefault="002704A6" w:rsidP="00800DAC">
            <w:pPr>
              <w:pStyle w:val="NoSpacing"/>
              <w:jc w:val="both"/>
              <w:rPr>
                <w:rFonts w:ascii="Bookman Old Style" w:hAnsi="Bookman Old Style" w:cs="Arial"/>
                <w:b/>
                <w:sz w:val="24"/>
                <w:szCs w:val="24"/>
              </w:rPr>
            </w:pPr>
            <w:r w:rsidRPr="0065366B">
              <w:rPr>
                <w:rFonts w:ascii="Bookman Old Style" w:hAnsi="Bookman Old Style" w:cs="Arial"/>
                <w:b/>
                <w:sz w:val="24"/>
                <w:szCs w:val="24"/>
              </w:rPr>
              <w:t>Total</w:t>
            </w:r>
          </w:p>
        </w:tc>
        <w:tc>
          <w:tcPr>
            <w:tcW w:w="2361" w:type="dxa"/>
          </w:tcPr>
          <w:p w14:paraId="2040C0D7" w14:textId="36BBE859" w:rsidR="002704A6" w:rsidRPr="0065366B" w:rsidRDefault="00AC675D" w:rsidP="00800DAC">
            <w:pPr>
              <w:pStyle w:val="NoSpacing"/>
              <w:jc w:val="center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21385</w:t>
            </w:r>
          </w:p>
        </w:tc>
        <w:tc>
          <w:tcPr>
            <w:tcW w:w="1688" w:type="dxa"/>
          </w:tcPr>
          <w:p w14:paraId="6F32AC2E" w14:textId="5616D337" w:rsidR="002704A6" w:rsidRPr="0065366B" w:rsidRDefault="00AC675D" w:rsidP="00800DAC">
            <w:pPr>
              <w:pStyle w:val="NoSpacing"/>
              <w:jc w:val="right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286.79</w:t>
            </w:r>
          </w:p>
        </w:tc>
        <w:tc>
          <w:tcPr>
            <w:tcW w:w="4717" w:type="dxa"/>
            <w:vAlign w:val="center"/>
          </w:tcPr>
          <w:p w14:paraId="060443C5" w14:textId="4CEE2D7A" w:rsidR="002704A6" w:rsidRPr="0065366B" w:rsidRDefault="00AC675D" w:rsidP="00800DAC">
            <w:pPr>
              <w:pStyle w:val="NoSpacing"/>
              <w:jc w:val="right"/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color w:val="000000"/>
                <w:sz w:val="24"/>
                <w:szCs w:val="24"/>
              </w:rPr>
              <w:t>425.21</w:t>
            </w:r>
          </w:p>
        </w:tc>
      </w:tr>
    </w:tbl>
    <w:p w14:paraId="1A6E3EE0" w14:textId="2E5D5EA0" w:rsidR="00766DA1" w:rsidRPr="0065366B" w:rsidRDefault="00D62753" w:rsidP="00B74225">
      <w:pPr>
        <w:pStyle w:val="NoSpacing"/>
        <w:jc w:val="both"/>
        <w:rPr>
          <w:rFonts w:ascii="Bookman Old Style" w:hAnsi="Bookman Old Style" w:cs="Arial"/>
          <w:b/>
          <w:sz w:val="24"/>
          <w:szCs w:val="24"/>
        </w:rPr>
      </w:pPr>
      <w:r w:rsidRPr="00764993">
        <w:rPr>
          <w:rFonts w:ascii="Bookman Old Style" w:hAnsi="Bookman Old Style" w:cs="Arial"/>
          <w:b/>
          <w:sz w:val="24"/>
          <w:szCs w:val="24"/>
        </w:rPr>
        <w:t xml:space="preserve">Details in </w:t>
      </w:r>
      <w:r w:rsidR="00800DAC" w:rsidRPr="00764993">
        <w:rPr>
          <w:rFonts w:ascii="Bookman Old Style" w:hAnsi="Bookman Old Style" w:cs="Arial"/>
          <w:b/>
          <w:sz w:val="24"/>
          <w:szCs w:val="24"/>
        </w:rPr>
        <w:t>page N</w:t>
      </w:r>
      <w:r w:rsidRPr="00764993">
        <w:rPr>
          <w:rFonts w:ascii="Bookman Old Style" w:hAnsi="Bookman Old Style" w:cs="Arial"/>
          <w:b/>
          <w:sz w:val="24"/>
          <w:szCs w:val="24"/>
        </w:rPr>
        <w:t>o.</w:t>
      </w:r>
      <w:r w:rsidR="00F165D9">
        <w:rPr>
          <w:rFonts w:ascii="Bookman Old Style" w:hAnsi="Bookman Old Style" w:cs="Arial"/>
          <w:b/>
          <w:sz w:val="24"/>
          <w:szCs w:val="24"/>
        </w:rPr>
        <w:t>95-</w:t>
      </w:r>
      <w:r w:rsidR="00741691" w:rsidRPr="00764993">
        <w:rPr>
          <w:rFonts w:ascii="Bookman Old Style" w:hAnsi="Bookman Old Style" w:cs="Arial"/>
          <w:b/>
          <w:sz w:val="24"/>
          <w:szCs w:val="24"/>
        </w:rPr>
        <w:t>9</w:t>
      </w:r>
      <w:r w:rsidR="00B24076" w:rsidRPr="00764993">
        <w:rPr>
          <w:rFonts w:ascii="Bookman Old Style" w:hAnsi="Bookman Old Style" w:cs="Arial"/>
          <w:b/>
          <w:sz w:val="24"/>
          <w:szCs w:val="24"/>
        </w:rPr>
        <w:t>6</w:t>
      </w:r>
      <w:r w:rsidR="00741691" w:rsidRPr="00764993">
        <w:rPr>
          <w:rFonts w:ascii="Bookman Old Style" w:hAnsi="Bookman Old Style" w:cs="Arial"/>
          <w:b/>
          <w:sz w:val="24"/>
          <w:szCs w:val="24"/>
        </w:rPr>
        <w:t xml:space="preserve"> and 8</w:t>
      </w:r>
      <w:r w:rsidR="00E87E87" w:rsidRPr="00764993">
        <w:rPr>
          <w:rFonts w:ascii="Bookman Old Style" w:hAnsi="Bookman Old Style" w:cs="Arial"/>
          <w:b/>
          <w:sz w:val="24"/>
          <w:szCs w:val="24"/>
        </w:rPr>
        <w:t>1-82</w:t>
      </w:r>
      <w:bookmarkStart w:id="9" w:name="_Hlk19714427"/>
      <w:r w:rsidR="0072425C" w:rsidRPr="00764993">
        <w:rPr>
          <w:rFonts w:ascii="Bookman Old Style" w:hAnsi="Bookman Old Style" w:cs="Arial"/>
          <w:b/>
          <w:sz w:val="24"/>
          <w:szCs w:val="24"/>
        </w:rPr>
        <w:t>)</w:t>
      </w:r>
    </w:p>
    <w:p w14:paraId="126EE53B" w14:textId="77777777" w:rsidR="00800DAC" w:rsidRPr="0065366B" w:rsidRDefault="00800DAC" w:rsidP="00800DAC">
      <w:pPr>
        <w:pStyle w:val="NoSpacing"/>
        <w:ind w:left="720" w:firstLine="720"/>
        <w:jc w:val="both"/>
        <w:rPr>
          <w:rFonts w:ascii="Bookman Old Style" w:hAnsi="Bookman Old Style" w:cs="Arial"/>
          <w:b/>
          <w:sz w:val="24"/>
          <w:szCs w:val="24"/>
        </w:rPr>
      </w:pPr>
    </w:p>
    <w:bookmarkEnd w:id="9"/>
    <w:p w14:paraId="435CB158" w14:textId="1DCAA225" w:rsidR="00E8349D" w:rsidRDefault="00913686" w:rsidP="002429C5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Agenda No.</w:t>
      </w:r>
      <w:r w:rsidR="009561C2">
        <w:rPr>
          <w:rFonts w:ascii="Bookman Old Style" w:hAnsi="Bookman Old Style" w:cs="Arial"/>
          <w:b/>
          <w:bCs/>
          <w:sz w:val="24"/>
          <w:szCs w:val="24"/>
          <w:u w:val="single"/>
        </w:rPr>
        <w:t>5</w:t>
      </w:r>
      <w:r w:rsidR="00E8349D">
        <w:rPr>
          <w:rFonts w:ascii="Bookman Old Style" w:hAnsi="Bookman Old Style" w:cs="Arial"/>
          <w:b/>
          <w:bCs/>
          <w:sz w:val="24"/>
          <w:szCs w:val="24"/>
          <w:u w:val="single"/>
        </w:rPr>
        <w:t>:</w:t>
      </w:r>
    </w:p>
    <w:p w14:paraId="560C5D8D" w14:textId="77777777" w:rsidR="00D62753" w:rsidRPr="0065366B" w:rsidRDefault="00D62753" w:rsidP="002429C5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Functioning of RSETIs</w:t>
      </w:r>
    </w:p>
    <w:p w14:paraId="336DC93C" w14:textId="77777777" w:rsidR="00B93CBC" w:rsidRPr="0065366B" w:rsidRDefault="00B93CBC" w:rsidP="001B7C5A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124EBE3D" w14:textId="61CB7BEF" w:rsidR="006767BE" w:rsidRDefault="009A41D0" w:rsidP="00E8349D">
      <w:pPr>
        <w:pStyle w:val="NoSpacing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Five RSETIs located </w:t>
      </w:r>
      <w:r w:rsidR="005634FC" w:rsidRPr="0065366B">
        <w:rPr>
          <w:rFonts w:ascii="Bookman Old Style" w:hAnsi="Bookman Old Style" w:cs="Arial"/>
          <w:sz w:val="24"/>
          <w:szCs w:val="24"/>
        </w:rPr>
        <w:t xml:space="preserve">at </w:t>
      </w:r>
      <w:proofErr w:type="spellStart"/>
      <w:r w:rsidR="005634FC" w:rsidRPr="0065366B">
        <w:rPr>
          <w:rFonts w:ascii="Bookman Old Style" w:hAnsi="Bookman Old Style" w:cs="Arial"/>
          <w:sz w:val="24"/>
          <w:szCs w:val="24"/>
        </w:rPr>
        <w:t>Umran</w:t>
      </w:r>
      <w:proofErr w:type="spellEnd"/>
      <w:r w:rsidR="005634FC" w:rsidRPr="0065366B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5634FC" w:rsidRPr="0065366B">
        <w:rPr>
          <w:rFonts w:ascii="Bookman Old Style" w:hAnsi="Bookman Old Style" w:cs="Arial"/>
          <w:sz w:val="24"/>
          <w:szCs w:val="24"/>
        </w:rPr>
        <w:t>Mawphlang</w:t>
      </w:r>
      <w:proofErr w:type="spellEnd"/>
      <w:r w:rsidR="005634FC" w:rsidRPr="0065366B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="005634FC" w:rsidRPr="0065366B">
        <w:rPr>
          <w:rFonts w:ascii="Bookman Old Style" w:hAnsi="Bookman Old Style" w:cs="Arial"/>
          <w:sz w:val="24"/>
          <w:szCs w:val="24"/>
        </w:rPr>
        <w:t>Nongstoin</w:t>
      </w:r>
      <w:proofErr w:type="spellEnd"/>
      <w:r w:rsidR="005634FC" w:rsidRPr="0065366B">
        <w:rPr>
          <w:rFonts w:ascii="Bookman Old Style" w:hAnsi="Bookman Old Style" w:cs="Arial"/>
          <w:sz w:val="24"/>
          <w:szCs w:val="24"/>
        </w:rPr>
        <w:t xml:space="preserve">, Tura and William Nagar have </w:t>
      </w:r>
      <w:r w:rsidR="006767BE">
        <w:rPr>
          <w:rFonts w:ascii="Bookman Old Style" w:hAnsi="Bookman Old Style" w:cs="Arial"/>
          <w:sz w:val="24"/>
          <w:szCs w:val="24"/>
        </w:rPr>
        <w:t xml:space="preserve">trained 2015 participants in 72 training programs during 2022-23. Out of 2015 </w:t>
      </w:r>
      <w:r w:rsidR="009C52F1">
        <w:rPr>
          <w:rFonts w:ascii="Bookman Old Style" w:hAnsi="Bookman Old Style" w:cs="Arial"/>
          <w:sz w:val="24"/>
          <w:szCs w:val="24"/>
        </w:rPr>
        <w:t xml:space="preserve">trained </w:t>
      </w:r>
      <w:r w:rsidR="006767BE">
        <w:rPr>
          <w:rFonts w:ascii="Bookman Old Style" w:hAnsi="Bookman Old Style" w:cs="Arial"/>
          <w:sz w:val="24"/>
          <w:szCs w:val="24"/>
        </w:rPr>
        <w:t xml:space="preserve">candidates, 790 have availed loans for </w:t>
      </w:r>
      <w:r w:rsidR="006767BE" w:rsidRPr="0065366B">
        <w:rPr>
          <w:rFonts w:ascii="Bookman Old Style" w:hAnsi="Arial" w:cs="Arial"/>
          <w:b/>
          <w:bCs/>
          <w:sz w:val="24"/>
          <w:szCs w:val="24"/>
        </w:rPr>
        <w:t>₹</w:t>
      </w:r>
      <w:r w:rsidR="006767BE">
        <w:rPr>
          <w:rFonts w:ascii="Bookman Old Style" w:hAnsi="Arial" w:cs="Arial"/>
          <w:b/>
          <w:bCs/>
          <w:sz w:val="24"/>
          <w:szCs w:val="24"/>
        </w:rPr>
        <w:t xml:space="preserve">.284.77 </w:t>
      </w:r>
      <w:r w:rsidR="006767BE" w:rsidRPr="006767BE">
        <w:rPr>
          <w:rFonts w:ascii="Bookman Old Style" w:hAnsi="Arial" w:cs="Arial"/>
          <w:sz w:val="24"/>
          <w:szCs w:val="24"/>
        </w:rPr>
        <w:t>Lakhs from different banks</w:t>
      </w:r>
    </w:p>
    <w:p w14:paraId="11ADD7E5" w14:textId="77777777" w:rsidR="00910E45" w:rsidRPr="0065366B" w:rsidRDefault="00910E45" w:rsidP="00910E45">
      <w:pPr>
        <w:pStyle w:val="NoSpacing"/>
        <w:ind w:left="1080"/>
        <w:jc w:val="both"/>
        <w:rPr>
          <w:rFonts w:ascii="Bookman Old Style" w:hAnsi="Bookman Old Style" w:cs="Arial"/>
          <w:sz w:val="24"/>
          <w:szCs w:val="24"/>
        </w:rPr>
      </w:pPr>
    </w:p>
    <w:p w14:paraId="55402DE7" w14:textId="05B15344" w:rsidR="00E8349D" w:rsidRDefault="00C01231" w:rsidP="00E465C5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Agenda </w:t>
      </w:r>
      <w:r w:rsidR="00E8349D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No.</w:t>
      </w:r>
      <w:r w:rsidR="009561C2">
        <w:rPr>
          <w:rFonts w:ascii="Bookman Old Style" w:hAnsi="Bookman Old Style" w:cs="Arial"/>
          <w:b/>
          <w:bCs/>
          <w:sz w:val="24"/>
          <w:szCs w:val="24"/>
          <w:u w:val="single"/>
        </w:rPr>
        <w:t>6</w:t>
      </w:r>
      <w:r w:rsidR="00E8349D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:</w:t>
      </w:r>
    </w:p>
    <w:p w14:paraId="1A2DDC39" w14:textId="77777777" w:rsidR="00E8349D" w:rsidRDefault="00E8349D" w:rsidP="00E465C5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6C66405C" w14:textId="77777777" w:rsidR="00C01231" w:rsidRPr="0065366B" w:rsidRDefault="00C01231" w:rsidP="00E465C5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Position of NPAs in respect of schematic lending, Certificate Cases and Recovery of NPAs</w:t>
      </w:r>
    </w:p>
    <w:p w14:paraId="29BFF878" w14:textId="77777777" w:rsidR="00287601" w:rsidRPr="0065366B" w:rsidRDefault="00287601" w:rsidP="00C01231">
      <w:pPr>
        <w:pStyle w:val="NoSpacing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</w:p>
    <w:p w14:paraId="486C41A1" w14:textId="7C1E8E1C" w:rsidR="00256841" w:rsidRDefault="00256841" w:rsidP="00C2184A">
      <w:pPr>
        <w:ind w:left="720"/>
        <w:jc w:val="both"/>
        <w:rPr>
          <w:rFonts w:ascii="Bookman Old Style" w:hAnsi="Bookman Old Style" w:cs="Arial"/>
        </w:rPr>
      </w:pPr>
      <w:r w:rsidRPr="00EA30F3">
        <w:rPr>
          <w:rFonts w:ascii="Bookman Old Style" w:hAnsi="Bookman Old Style" w:cs="Arial"/>
          <w:b/>
          <w:bCs/>
        </w:rPr>
        <w:t xml:space="preserve">Status of NPA under Government </w:t>
      </w:r>
      <w:proofErr w:type="gramStart"/>
      <w:r w:rsidRPr="00EA30F3">
        <w:rPr>
          <w:rFonts w:ascii="Bookman Old Style" w:hAnsi="Bookman Old Style" w:cs="Arial"/>
          <w:b/>
          <w:bCs/>
        </w:rPr>
        <w:t>Schemes</w:t>
      </w:r>
      <w:r>
        <w:rPr>
          <w:rFonts w:ascii="Bookman Old Style" w:hAnsi="Bookman Old Style" w:cs="Arial"/>
        </w:rPr>
        <w:t xml:space="preserve"> :</w:t>
      </w:r>
      <w:proofErr w:type="gramEnd"/>
      <w:r>
        <w:rPr>
          <w:rFonts w:ascii="Bookman Old Style" w:hAnsi="Bookman Old Style" w:cs="Arial"/>
        </w:rPr>
        <w:t>-</w:t>
      </w:r>
    </w:p>
    <w:p w14:paraId="472926B0" w14:textId="698BE424" w:rsidR="00256841" w:rsidRDefault="00287601" w:rsidP="00C2184A">
      <w:pPr>
        <w:ind w:left="720"/>
        <w:jc w:val="both"/>
        <w:rPr>
          <w:rFonts w:ascii="Bookman Old Style" w:hAnsi="Bookman Old Style" w:cs="Arial"/>
        </w:rPr>
      </w:pPr>
      <w:r w:rsidRPr="0065366B">
        <w:rPr>
          <w:rFonts w:ascii="Bookman Old Style" w:hAnsi="Bookman Old Style" w:cs="Arial"/>
        </w:rPr>
        <w:t xml:space="preserve">Out of </w:t>
      </w:r>
      <w:r w:rsidR="00381B5D" w:rsidRPr="0065366B">
        <w:rPr>
          <w:rFonts w:ascii="Bookman Old Style" w:hAnsi="Bookman Old Style" w:cs="Arial"/>
        </w:rPr>
        <w:t>2</w:t>
      </w:r>
      <w:r w:rsidR="00256841">
        <w:rPr>
          <w:rFonts w:ascii="Bookman Old Style" w:hAnsi="Bookman Old Style" w:cs="Arial"/>
        </w:rPr>
        <w:t>5621</w:t>
      </w:r>
      <w:r w:rsidRPr="0065366B">
        <w:rPr>
          <w:rFonts w:ascii="Bookman Old Style" w:hAnsi="Bookman Old Style" w:cs="Arial"/>
        </w:rPr>
        <w:t xml:space="preserve"> loan accounts</w:t>
      </w:r>
      <w:r w:rsidR="00256841">
        <w:rPr>
          <w:rFonts w:ascii="Bookman Old Style" w:hAnsi="Bookman Old Style" w:cs="Arial"/>
        </w:rPr>
        <w:t xml:space="preserve"> under Government sponsored schemes</w:t>
      </w:r>
      <w:r w:rsidR="00D96DF4">
        <w:rPr>
          <w:rFonts w:ascii="Bookman Old Style" w:hAnsi="Bookman Old Style" w:cs="Arial"/>
        </w:rPr>
        <w:t xml:space="preserve"> </w:t>
      </w:r>
      <w:r w:rsidR="008F2D9A" w:rsidRPr="0065366B">
        <w:rPr>
          <w:rFonts w:ascii="Bookman Old Style" w:hAnsi="Bookman Old Style" w:cs="Arial"/>
        </w:rPr>
        <w:t xml:space="preserve">for </w:t>
      </w:r>
      <w:r w:rsidR="008F2D9A" w:rsidRPr="0065366B">
        <w:rPr>
          <w:rFonts w:ascii="Bookman Old Style" w:hAnsi="Arial" w:cs="Arial"/>
          <w:b/>
          <w:bCs/>
        </w:rPr>
        <w:t>₹</w:t>
      </w:r>
      <w:r w:rsidR="008F2D9A" w:rsidRPr="0065366B">
        <w:rPr>
          <w:rFonts w:ascii="Bookman Old Style" w:hAnsi="Bookman Old Style" w:cs="Arial"/>
        </w:rPr>
        <w:t>.4</w:t>
      </w:r>
      <w:r w:rsidR="00256841">
        <w:rPr>
          <w:rFonts w:ascii="Bookman Old Style" w:hAnsi="Bookman Old Style" w:cs="Arial"/>
        </w:rPr>
        <w:t>20.67</w:t>
      </w:r>
      <w:r w:rsidR="008F2D9A" w:rsidRPr="0065366B">
        <w:rPr>
          <w:rFonts w:ascii="Bookman Old Style" w:hAnsi="Bookman Old Style" w:cs="Arial"/>
        </w:rPr>
        <w:t xml:space="preserve"> crores</w:t>
      </w:r>
      <w:r w:rsidR="00C82E53" w:rsidRPr="00C82E53">
        <w:rPr>
          <w:rFonts w:ascii="Bookman Old Style" w:hAnsi="Bookman Old Style" w:cs="Arial"/>
        </w:rPr>
        <w:t>, t</w:t>
      </w:r>
      <w:r w:rsidRPr="00C82E53">
        <w:rPr>
          <w:rFonts w:ascii="Bookman Old Style" w:hAnsi="Bookman Old Style" w:cs="Arial"/>
        </w:rPr>
        <w:t xml:space="preserve">here are </w:t>
      </w:r>
      <w:r w:rsidR="007E5731" w:rsidRPr="00C82E53">
        <w:rPr>
          <w:rFonts w:ascii="Bookman Old Style" w:hAnsi="Bookman Old Style" w:cs="Arial"/>
        </w:rPr>
        <w:t>2</w:t>
      </w:r>
      <w:r w:rsidR="00256841" w:rsidRPr="00C82E53">
        <w:rPr>
          <w:rFonts w:ascii="Bookman Old Style" w:hAnsi="Bookman Old Style" w:cs="Arial"/>
        </w:rPr>
        <w:t>599</w:t>
      </w:r>
      <w:r w:rsidRPr="00C82E53">
        <w:rPr>
          <w:rFonts w:ascii="Bookman Old Style" w:hAnsi="Bookman Old Style" w:cs="Arial"/>
        </w:rPr>
        <w:t xml:space="preserve"> NPA loan accounts </w:t>
      </w:r>
      <w:r w:rsidR="00256841" w:rsidRPr="00C82E53">
        <w:rPr>
          <w:rFonts w:ascii="Bookman Old Style" w:hAnsi="Bookman Old Style" w:cs="Arial"/>
        </w:rPr>
        <w:t xml:space="preserve">for </w:t>
      </w:r>
      <w:bookmarkStart w:id="10" w:name="_Hlk135474385"/>
      <w:r w:rsidR="00256841" w:rsidRPr="00C82E53">
        <w:rPr>
          <w:rFonts w:ascii="Bookman Old Style" w:hAnsi="Arial" w:cs="Arial"/>
          <w:b/>
          <w:bCs/>
        </w:rPr>
        <w:t>₹</w:t>
      </w:r>
      <w:bookmarkEnd w:id="10"/>
      <w:r w:rsidR="00256841" w:rsidRPr="00C82E53">
        <w:rPr>
          <w:rFonts w:ascii="Bookman Old Style" w:hAnsi="Arial" w:cs="Arial"/>
          <w:b/>
          <w:bCs/>
        </w:rPr>
        <w:t xml:space="preserve">.39.26 crores </w:t>
      </w:r>
      <w:r w:rsidRPr="00C82E53">
        <w:rPr>
          <w:rFonts w:ascii="Bookman Old Style" w:hAnsi="Bookman Old Style" w:cs="Arial"/>
        </w:rPr>
        <w:t xml:space="preserve">constituting </w:t>
      </w:r>
      <w:r w:rsidR="00051D36" w:rsidRPr="00C82E53">
        <w:rPr>
          <w:rFonts w:ascii="Bookman Old Style" w:hAnsi="Bookman Old Style" w:cs="Arial"/>
        </w:rPr>
        <w:t>9.33%</w:t>
      </w:r>
    </w:p>
    <w:p w14:paraId="1FBD145D" w14:textId="7ED409AE" w:rsidR="00051D36" w:rsidRDefault="00051D36" w:rsidP="00C2184A">
      <w:pPr>
        <w:ind w:left="720"/>
        <w:jc w:val="both"/>
        <w:rPr>
          <w:rFonts w:ascii="Bookman Old Style" w:hAnsi="Bookman Old Style" w:cs="Arial"/>
        </w:rPr>
      </w:pPr>
    </w:p>
    <w:p w14:paraId="44ABCE90" w14:textId="7398CB3B" w:rsidR="00E53E9D" w:rsidRPr="0065366B" w:rsidRDefault="009561C2" w:rsidP="00D51595">
      <w:pPr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</w:rPr>
        <w:t>PMEGP Scheme constituted the highest NPA of 27.20% as on 31.03.2023</w:t>
      </w:r>
      <w:r w:rsidR="00D51595">
        <w:rPr>
          <w:rFonts w:ascii="Bookman Old Style" w:hAnsi="Bookman Old Style" w:cs="Arial"/>
        </w:rPr>
        <w:t xml:space="preserve">. </w:t>
      </w:r>
      <w:r w:rsidR="00D51595" w:rsidRPr="0065366B">
        <w:rPr>
          <w:rFonts w:ascii="Bookman Old Style" w:hAnsi="Bookman Old Style"/>
        </w:rPr>
        <w:t>This trend of increasing NPA will have a negative impact on the credit culture, especially of government sponsored schemes. The Government is requested to dispose</w:t>
      </w:r>
      <w:r w:rsidR="00D51595">
        <w:rPr>
          <w:rFonts w:ascii="Bookman Old Style" w:hAnsi="Bookman Old Style"/>
        </w:rPr>
        <w:t xml:space="preserve"> </w:t>
      </w:r>
      <w:r w:rsidR="00D51595" w:rsidRPr="0065366B">
        <w:rPr>
          <w:rFonts w:ascii="Bookman Old Style" w:hAnsi="Bookman Old Style"/>
        </w:rPr>
        <w:t>the pending</w:t>
      </w:r>
      <w:r w:rsidR="00D51595">
        <w:rPr>
          <w:rFonts w:ascii="Bookman Old Style" w:hAnsi="Bookman Old Style"/>
        </w:rPr>
        <w:t xml:space="preserve"> </w:t>
      </w:r>
      <w:proofErr w:type="spellStart"/>
      <w:r w:rsidR="00D51595" w:rsidRPr="0065366B">
        <w:rPr>
          <w:rFonts w:ascii="Bookman Old Style" w:hAnsi="Bookman Old Style"/>
        </w:rPr>
        <w:t>Bakijai</w:t>
      </w:r>
      <w:proofErr w:type="spellEnd"/>
      <w:r w:rsidR="00D51595" w:rsidRPr="0065366B">
        <w:rPr>
          <w:rFonts w:ascii="Bookman Old Style" w:hAnsi="Bookman Old Style"/>
        </w:rPr>
        <w:t xml:space="preserve"> cases and support the banks in effective recovery of</w:t>
      </w:r>
      <w:r w:rsidR="00D51595">
        <w:rPr>
          <w:rFonts w:ascii="Bookman Old Style" w:hAnsi="Bookman Old Style"/>
        </w:rPr>
        <w:t xml:space="preserve"> bad loans.</w:t>
      </w:r>
      <w:bookmarkStart w:id="11" w:name="_Hlk98434186"/>
    </w:p>
    <w:p w14:paraId="0E204248" w14:textId="77777777" w:rsidR="00436ACA" w:rsidRPr="0065366B" w:rsidRDefault="00436ACA" w:rsidP="00142239">
      <w:pPr>
        <w:jc w:val="both"/>
        <w:rPr>
          <w:rFonts w:ascii="Bookman Old Style" w:hAnsi="Bookman Old Style"/>
        </w:rPr>
      </w:pPr>
    </w:p>
    <w:bookmarkEnd w:id="11"/>
    <w:p w14:paraId="769C5706" w14:textId="1E8DD970" w:rsidR="0065366B" w:rsidRDefault="00913686" w:rsidP="007A0EEC">
      <w:pPr>
        <w:pStyle w:val="NoSpacing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  <w:r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>Agenda No.</w:t>
      </w:r>
      <w:r w:rsidR="00D51595">
        <w:rPr>
          <w:rFonts w:ascii="Bookman Old Style" w:hAnsi="Bookman Old Style" w:cs="Arial"/>
          <w:b/>
          <w:bCs/>
          <w:sz w:val="24"/>
          <w:szCs w:val="24"/>
          <w:u w:val="single"/>
        </w:rPr>
        <w:t>7</w:t>
      </w:r>
      <w:r w:rsidR="00282A5B" w:rsidRPr="0065366B">
        <w:rPr>
          <w:rFonts w:ascii="Bookman Old Style" w:hAnsi="Bookman Old Style" w:cs="Arial"/>
          <w:b/>
          <w:bCs/>
          <w:sz w:val="24"/>
          <w:szCs w:val="24"/>
          <w:u w:val="single"/>
        </w:rPr>
        <w:t xml:space="preserve"> </w:t>
      </w:r>
      <w:r w:rsidR="002444EC">
        <w:rPr>
          <w:rFonts w:ascii="Bookman Old Style" w:hAnsi="Bookman Old Style" w:cstheme="minorHAnsi"/>
          <w:sz w:val="24"/>
          <w:szCs w:val="24"/>
          <w:u w:val="single"/>
        </w:rPr>
        <w:t>-</w:t>
      </w:r>
      <w:r w:rsidR="0065366B" w:rsidRPr="0065366B">
        <w:rPr>
          <w:rFonts w:ascii="Bookman Old Style" w:hAnsi="Bookman Old Style" w:cstheme="minorHAnsi"/>
          <w:b/>
          <w:bCs/>
          <w:sz w:val="24"/>
          <w:szCs w:val="24"/>
        </w:rPr>
        <w:t>Any Other Agenda:</w:t>
      </w:r>
    </w:p>
    <w:p w14:paraId="42DB4F11" w14:textId="72750D8C" w:rsidR="002444EC" w:rsidRDefault="002444EC" w:rsidP="007A0EEC">
      <w:pPr>
        <w:pStyle w:val="NoSpacing"/>
        <w:jc w:val="both"/>
        <w:rPr>
          <w:rFonts w:ascii="Bookman Old Style" w:hAnsi="Bookman Old Style" w:cstheme="minorHAnsi"/>
          <w:b/>
          <w:bCs/>
          <w:sz w:val="24"/>
          <w:szCs w:val="24"/>
        </w:rPr>
      </w:pPr>
    </w:p>
    <w:p w14:paraId="0F95B3EA" w14:textId="1A6ADD2D" w:rsidR="002444EC" w:rsidRPr="00753789" w:rsidRDefault="00CA055A" w:rsidP="004F2350">
      <w:pPr>
        <w:pStyle w:val="NoSpacing"/>
        <w:numPr>
          <w:ilvl w:val="0"/>
          <w:numId w:val="14"/>
        </w:numPr>
        <w:jc w:val="both"/>
        <w:rPr>
          <w:rFonts w:ascii="Bookman Old Style" w:hAnsi="Bookman Old Style" w:cstheme="minorHAnsi"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4"/>
          <w:szCs w:val="24"/>
        </w:rPr>
        <w:t>The</w:t>
      </w:r>
      <w:r w:rsidR="006E0CDB">
        <w:rPr>
          <w:rFonts w:ascii="Bookman Old Style" w:hAnsi="Bookman Old Style" w:cstheme="minorHAnsi"/>
          <w:sz w:val="24"/>
          <w:szCs w:val="24"/>
        </w:rPr>
        <w:t xml:space="preserve"> </w:t>
      </w:r>
      <w:r w:rsidR="001F2AF4">
        <w:rPr>
          <w:rFonts w:ascii="Bookman Old Style" w:hAnsi="Bookman Old Style" w:cstheme="minorHAnsi"/>
          <w:sz w:val="24"/>
          <w:szCs w:val="24"/>
        </w:rPr>
        <w:t xml:space="preserve">Sub-Committee meeting for ACP target of 2023-24 in priority Sectors was held on 21.04.2023. </w:t>
      </w:r>
      <w:r w:rsidR="006E0CDB">
        <w:rPr>
          <w:rFonts w:ascii="Bookman Old Style" w:hAnsi="Bookman Old Style" w:cstheme="minorHAnsi"/>
          <w:sz w:val="24"/>
          <w:szCs w:val="24"/>
        </w:rPr>
        <w:t>ACP Target</w:t>
      </w:r>
      <w:r w:rsidR="00150DEF">
        <w:rPr>
          <w:rFonts w:ascii="Bookman Old Style" w:hAnsi="Bookman Old Style" w:cstheme="minorHAnsi"/>
          <w:sz w:val="24"/>
          <w:szCs w:val="24"/>
        </w:rPr>
        <w:t xml:space="preserve"> for FY 2023-24</w:t>
      </w:r>
      <w:r w:rsidR="006E0CDB">
        <w:rPr>
          <w:rFonts w:ascii="Bookman Old Style" w:hAnsi="Bookman Old Style" w:cstheme="minorHAnsi"/>
          <w:sz w:val="24"/>
          <w:szCs w:val="24"/>
        </w:rPr>
        <w:t xml:space="preserve"> </w:t>
      </w:r>
      <w:r w:rsidR="001F2AF4">
        <w:rPr>
          <w:rFonts w:ascii="Bookman Old Style" w:hAnsi="Bookman Old Style" w:cstheme="minorHAnsi"/>
          <w:sz w:val="24"/>
          <w:szCs w:val="24"/>
        </w:rPr>
        <w:t xml:space="preserve">total amount </w:t>
      </w:r>
      <w:r w:rsidR="006E0CDB">
        <w:rPr>
          <w:rFonts w:ascii="Bookman Old Style" w:hAnsi="Bookman Old Style" w:cstheme="minorHAnsi"/>
          <w:sz w:val="24"/>
          <w:szCs w:val="24"/>
        </w:rPr>
        <w:t>w</w:t>
      </w:r>
      <w:r>
        <w:rPr>
          <w:rFonts w:ascii="Bookman Old Style" w:hAnsi="Bookman Old Style" w:cstheme="minorHAnsi"/>
          <w:sz w:val="24"/>
          <w:szCs w:val="24"/>
        </w:rPr>
        <w:t>as</w:t>
      </w:r>
      <w:r w:rsidR="006E0CDB">
        <w:rPr>
          <w:rFonts w:ascii="Bookman Old Style" w:hAnsi="Bookman Old Style" w:cstheme="minorHAnsi"/>
          <w:sz w:val="24"/>
          <w:szCs w:val="24"/>
        </w:rPr>
        <w:t xml:space="preserve"> </w:t>
      </w:r>
      <w:r>
        <w:rPr>
          <w:rFonts w:ascii="Bookman Old Style" w:hAnsi="Bookman Old Style" w:cstheme="minorHAnsi"/>
          <w:sz w:val="24"/>
          <w:szCs w:val="24"/>
        </w:rPr>
        <w:t>considered</w:t>
      </w:r>
      <w:r w:rsidR="006E0CDB">
        <w:rPr>
          <w:rFonts w:ascii="Bookman Old Style" w:hAnsi="Bookman Old Style" w:cstheme="minorHAnsi"/>
          <w:sz w:val="24"/>
          <w:szCs w:val="24"/>
        </w:rPr>
        <w:t xml:space="preserve"> for </w:t>
      </w:r>
      <w:r w:rsidR="000F59C4" w:rsidRPr="0065366B">
        <w:rPr>
          <w:rFonts w:ascii="Bookman Old Style" w:hAnsi="Arial" w:cs="Arial"/>
          <w:b/>
          <w:bCs/>
        </w:rPr>
        <w:t>₹</w:t>
      </w:r>
      <w:r w:rsidR="006E0CDB">
        <w:rPr>
          <w:rFonts w:ascii="Bookman Old Style" w:hAnsi="Bookman Old Style" w:cstheme="minorHAnsi"/>
          <w:sz w:val="24"/>
          <w:szCs w:val="24"/>
        </w:rPr>
        <w:t>.2667.00 Crores</w:t>
      </w:r>
      <w:r w:rsidR="000F59C4">
        <w:rPr>
          <w:rFonts w:ascii="Bookman Old Style" w:hAnsi="Bookman Old Style" w:cstheme="minorHAnsi"/>
          <w:sz w:val="24"/>
          <w:szCs w:val="24"/>
        </w:rPr>
        <w:t xml:space="preserve"> against the Target of </w:t>
      </w:r>
      <w:r w:rsidR="000F59C4" w:rsidRPr="0065366B">
        <w:rPr>
          <w:rFonts w:ascii="Bookman Old Style" w:hAnsi="Arial" w:cs="Arial"/>
          <w:b/>
          <w:bCs/>
        </w:rPr>
        <w:t>₹</w:t>
      </w:r>
      <w:r w:rsidR="000F59C4">
        <w:rPr>
          <w:rFonts w:ascii="Bookman Old Style" w:hAnsi="Bookman Old Style" w:cstheme="minorHAnsi"/>
          <w:sz w:val="24"/>
          <w:szCs w:val="24"/>
        </w:rPr>
        <w:t>.</w:t>
      </w:r>
      <w:r w:rsidR="005E3654">
        <w:rPr>
          <w:rFonts w:ascii="Bookman Old Style" w:hAnsi="Bookman Old Style" w:cstheme="minorHAnsi"/>
          <w:sz w:val="24"/>
          <w:szCs w:val="24"/>
        </w:rPr>
        <w:t>1862 Crores in 2022-23</w:t>
      </w:r>
      <w:r w:rsidR="00C46A5E">
        <w:rPr>
          <w:rFonts w:ascii="Bookman Old Style" w:hAnsi="Bookman Old Style" w:cstheme="minorHAnsi"/>
          <w:sz w:val="24"/>
          <w:szCs w:val="24"/>
        </w:rPr>
        <w:t>.</w:t>
      </w:r>
      <w:r w:rsidR="00150DEF">
        <w:rPr>
          <w:rFonts w:ascii="Bookman Old Style" w:hAnsi="Bookman Old Style" w:cstheme="minorHAnsi"/>
          <w:sz w:val="24"/>
          <w:szCs w:val="24"/>
        </w:rPr>
        <w:t xml:space="preserve"> The</w:t>
      </w:r>
      <w:r w:rsidR="005E3654">
        <w:rPr>
          <w:rFonts w:ascii="Bookman Old Style" w:hAnsi="Bookman Old Style" w:cstheme="minorHAnsi"/>
          <w:sz w:val="24"/>
          <w:szCs w:val="24"/>
        </w:rPr>
        <w:t xml:space="preserve"> allocation for </w:t>
      </w:r>
      <w:r w:rsidR="00150DEF">
        <w:rPr>
          <w:rFonts w:ascii="Bookman Old Style" w:hAnsi="Bookman Old Style" w:cstheme="minorHAnsi"/>
          <w:sz w:val="24"/>
          <w:szCs w:val="24"/>
        </w:rPr>
        <w:t xml:space="preserve">Agriculture, MSME and Other priority sectors </w:t>
      </w:r>
      <w:r w:rsidR="005E3654">
        <w:rPr>
          <w:rFonts w:ascii="Bookman Old Style" w:hAnsi="Bookman Old Style" w:cstheme="minorHAnsi"/>
          <w:sz w:val="24"/>
          <w:szCs w:val="24"/>
        </w:rPr>
        <w:t xml:space="preserve">is </w:t>
      </w:r>
      <w:r w:rsidR="00150DEF">
        <w:rPr>
          <w:rFonts w:ascii="Bookman Old Style" w:hAnsi="Bookman Old Style" w:cstheme="minorHAnsi"/>
          <w:sz w:val="24"/>
          <w:szCs w:val="24"/>
        </w:rPr>
        <w:t>for Rs.845 crores, 1446.30 crores and Rs.375 crores respectively.</w:t>
      </w:r>
      <w:r w:rsidR="00EA379C">
        <w:rPr>
          <w:rFonts w:ascii="Bookman Old Style" w:hAnsi="Bookman Old Style" w:cstheme="minorHAnsi"/>
          <w:sz w:val="24"/>
          <w:szCs w:val="24"/>
        </w:rPr>
        <w:t xml:space="preserve"> The ACP target for FY 2023-24 may be approve by SLBC</w:t>
      </w:r>
    </w:p>
    <w:p w14:paraId="4AE48D67" w14:textId="3D1186C1" w:rsidR="00753789" w:rsidRDefault="00753789" w:rsidP="00753789">
      <w:pPr>
        <w:pStyle w:val="NoSpacing"/>
        <w:ind w:left="360"/>
        <w:jc w:val="both"/>
        <w:rPr>
          <w:rFonts w:ascii="Bookman Old Style" w:hAnsi="Bookman Old Style" w:cstheme="minorHAnsi"/>
          <w:sz w:val="24"/>
          <w:szCs w:val="24"/>
        </w:rPr>
      </w:pPr>
    </w:p>
    <w:p w14:paraId="7BEDB002" w14:textId="77777777" w:rsidR="00DB64FC" w:rsidRPr="00DB64FC" w:rsidRDefault="00753789" w:rsidP="005F5C55">
      <w:pPr>
        <w:pStyle w:val="NoSpacing"/>
        <w:numPr>
          <w:ilvl w:val="0"/>
          <w:numId w:val="14"/>
        </w:numPr>
        <w:jc w:val="both"/>
        <w:rPr>
          <w:rFonts w:ascii="Bookman Old Style" w:hAnsi="Bookman Old Style" w:cstheme="minorHAnsi"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4"/>
          <w:szCs w:val="24"/>
        </w:rPr>
        <w:t xml:space="preserve">Standard Operating Procedure (SOP) for providing armed Security to the Cash transportation activities by Cash-In-Transit Companies/ Financial Institutions/ Banks as directed by Ministry of Home Affairs for appropriate decisions. The PSARA </w:t>
      </w:r>
      <w:r>
        <w:rPr>
          <w:rFonts w:ascii="Bookman Old Style" w:hAnsi="Bookman Old Style" w:cstheme="minorHAnsi"/>
          <w:sz w:val="24"/>
          <w:szCs w:val="24"/>
        </w:rPr>
        <w:lastRenderedPageBreak/>
        <w:t>Companies/ Cash-In-Transit (CIT) companies is requested for suggestion for deliberation.</w:t>
      </w:r>
    </w:p>
    <w:p w14:paraId="6886489E" w14:textId="77777777" w:rsidR="00DB64FC" w:rsidRDefault="00DB64FC" w:rsidP="00DB64FC">
      <w:pPr>
        <w:pStyle w:val="ListParagraph"/>
        <w:rPr>
          <w:rFonts w:ascii="Bookman Old Style" w:hAnsi="Bookman Old Style" w:cstheme="minorHAnsi"/>
          <w:szCs w:val="24"/>
        </w:rPr>
      </w:pPr>
    </w:p>
    <w:p w14:paraId="646B67E3" w14:textId="0B45DD34" w:rsidR="00753789" w:rsidRPr="006C4D19" w:rsidRDefault="00DB64FC" w:rsidP="005F5C55">
      <w:pPr>
        <w:pStyle w:val="NoSpacing"/>
        <w:numPr>
          <w:ilvl w:val="0"/>
          <w:numId w:val="14"/>
        </w:numPr>
        <w:jc w:val="both"/>
        <w:rPr>
          <w:rFonts w:ascii="Bookman Old Style" w:hAnsi="Bookman Old Style" w:cstheme="minorHAnsi"/>
          <w:sz w:val="24"/>
          <w:szCs w:val="24"/>
          <w:u w:val="single"/>
        </w:rPr>
      </w:pPr>
      <w:r>
        <w:rPr>
          <w:rFonts w:ascii="Bookman Old Style" w:hAnsi="Bookman Old Style" w:cstheme="minorHAnsi"/>
          <w:sz w:val="24"/>
          <w:szCs w:val="24"/>
        </w:rPr>
        <w:t>Adoption of FinTech Sector by Banks – Particularly in Agriculture Sector to bring more investment into Agriculture Sector for long term assets creation.</w:t>
      </w:r>
    </w:p>
    <w:p w14:paraId="4AEE4DB8" w14:textId="77777777" w:rsidR="006C4D19" w:rsidRDefault="006C4D19" w:rsidP="006C4D19">
      <w:pPr>
        <w:pStyle w:val="ListParagraph"/>
        <w:rPr>
          <w:rFonts w:ascii="Bookman Old Style" w:hAnsi="Bookman Old Style" w:cstheme="minorHAnsi"/>
          <w:szCs w:val="24"/>
          <w:u w:val="single"/>
        </w:rPr>
      </w:pPr>
    </w:p>
    <w:p w14:paraId="1243B7C9" w14:textId="6739270E" w:rsidR="006C4D19" w:rsidRPr="00D1516F" w:rsidRDefault="00D1516F" w:rsidP="005F5C55">
      <w:pPr>
        <w:pStyle w:val="NoSpacing"/>
        <w:numPr>
          <w:ilvl w:val="0"/>
          <w:numId w:val="14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SLBC Resolution on Crop season and duration to arrive at the NPA norms in Agriculture- In the SLBC </w:t>
      </w:r>
      <w:r w:rsidR="004D5017"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>Steering Subcommittee</w:t>
      </w:r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 meeting held on May</w:t>
      </w:r>
      <w:r w:rsidR="004D5017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 22nd</w:t>
      </w:r>
      <w:proofErr w:type="gramStart"/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 2023</w:t>
      </w:r>
      <w:proofErr w:type="gramEnd"/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 it was agreed to adopt with mono cropping pattern duration in the State. The </w:t>
      </w:r>
      <w:r w:rsidR="004D5017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loans </w:t>
      </w:r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>advance</w:t>
      </w:r>
      <w:r w:rsidR="004D5017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>d</w:t>
      </w:r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 under crop loans in the State can be treated as NPA when it </w:t>
      </w:r>
      <w:proofErr w:type="gramStart"/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>remain</w:t>
      </w:r>
      <w:proofErr w:type="gramEnd"/>
      <w:r w:rsidRPr="00D1516F">
        <w:rPr>
          <w:rFonts w:ascii="Bookman Old Style" w:hAnsi="Bookman Old Style" w:cs="Calibri"/>
          <w:color w:val="000000" w:themeColor="text1"/>
          <w:kern w:val="2"/>
          <w:sz w:val="24"/>
          <w:szCs w:val="24"/>
        </w:rPr>
        <w:t xml:space="preserve"> overdue for two harvest seasons</w:t>
      </w:r>
    </w:p>
    <w:p w14:paraId="156DDDEC" w14:textId="77777777" w:rsidR="00E603B6" w:rsidRDefault="00E603B6" w:rsidP="00E603B6">
      <w:pPr>
        <w:pStyle w:val="ListParagraph"/>
        <w:rPr>
          <w:rFonts w:ascii="Bookman Old Style" w:hAnsi="Bookman Old Style" w:cstheme="minorHAnsi"/>
          <w:szCs w:val="24"/>
        </w:rPr>
      </w:pPr>
    </w:p>
    <w:p w14:paraId="62D80CBF" w14:textId="0A30E10C" w:rsidR="00E603B6" w:rsidRPr="00E603B6" w:rsidRDefault="00E603B6" w:rsidP="0007261A">
      <w:pPr>
        <w:pStyle w:val="NoSpacing"/>
        <w:numPr>
          <w:ilvl w:val="0"/>
          <w:numId w:val="14"/>
        </w:numPr>
        <w:jc w:val="both"/>
        <w:rPr>
          <w:rFonts w:ascii="Bookman Old Style" w:hAnsi="Bookman Old Style" w:cstheme="minorHAnsi"/>
          <w:sz w:val="24"/>
          <w:szCs w:val="24"/>
        </w:rPr>
      </w:pPr>
      <w:r w:rsidRPr="00653FF6">
        <w:rPr>
          <w:rFonts w:ascii="Bookman Old Style" w:hAnsi="Bookman Old Style" w:cstheme="minorHAnsi"/>
          <w:sz w:val="24"/>
          <w:szCs w:val="24"/>
        </w:rPr>
        <w:t xml:space="preserve">Three months Campaign for saturation of </w:t>
      </w:r>
      <w:proofErr w:type="spellStart"/>
      <w:r w:rsidRPr="00653FF6">
        <w:rPr>
          <w:rFonts w:ascii="Bookman Old Style" w:hAnsi="Bookman Old Style" w:cstheme="minorHAnsi"/>
          <w:sz w:val="24"/>
          <w:szCs w:val="24"/>
        </w:rPr>
        <w:t>Jansuraksha</w:t>
      </w:r>
      <w:proofErr w:type="spellEnd"/>
      <w:r w:rsidRPr="00653FF6">
        <w:rPr>
          <w:rFonts w:ascii="Bookman Old Style" w:hAnsi="Bookman Old Style" w:cstheme="minorHAnsi"/>
          <w:sz w:val="24"/>
          <w:szCs w:val="24"/>
        </w:rPr>
        <w:t xml:space="preserve"> schemes (PMJJBY</w:t>
      </w:r>
      <w:r w:rsidR="006B461E">
        <w:rPr>
          <w:rFonts w:ascii="Bookman Old Style" w:hAnsi="Bookman Old Style" w:cstheme="minorHAnsi"/>
          <w:sz w:val="24"/>
          <w:szCs w:val="24"/>
        </w:rPr>
        <w:t xml:space="preserve"> and</w:t>
      </w:r>
      <w:r w:rsidRPr="00653FF6">
        <w:rPr>
          <w:rFonts w:ascii="Bookman Old Style" w:hAnsi="Bookman Old Style" w:cstheme="minorHAnsi"/>
          <w:sz w:val="24"/>
          <w:szCs w:val="24"/>
        </w:rPr>
        <w:t xml:space="preserve"> PMSBY)</w:t>
      </w:r>
      <w:r w:rsidR="008D1935" w:rsidRPr="00653FF6">
        <w:rPr>
          <w:rFonts w:ascii="Bookman Old Style" w:hAnsi="Bookman Old Style" w:cstheme="minorHAnsi"/>
          <w:sz w:val="24"/>
          <w:szCs w:val="24"/>
        </w:rPr>
        <w:t xml:space="preserve"> at </w:t>
      </w:r>
      <w:r w:rsidR="00FF13F8">
        <w:rPr>
          <w:rFonts w:ascii="Bookman Old Style" w:hAnsi="Bookman Old Style" w:cstheme="minorHAnsi"/>
          <w:sz w:val="24"/>
          <w:szCs w:val="24"/>
        </w:rPr>
        <w:t xml:space="preserve">Gram </w:t>
      </w:r>
      <w:r w:rsidR="008D1935" w:rsidRPr="00653FF6">
        <w:rPr>
          <w:rFonts w:ascii="Bookman Old Style" w:hAnsi="Bookman Old Style" w:cstheme="minorHAnsi"/>
          <w:sz w:val="24"/>
          <w:szCs w:val="24"/>
        </w:rPr>
        <w:t>Panchayat levels</w:t>
      </w:r>
      <w:r w:rsidR="00FF13F8">
        <w:rPr>
          <w:rFonts w:ascii="Bookman Old Style" w:hAnsi="Bookman Old Style" w:cstheme="minorHAnsi"/>
          <w:sz w:val="24"/>
          <w:szCs w:val="24"/>
        </w:rPr>
        <w:t xml:space="preserve"> is </w:t>
      </w:r>
      <w:r w:rsidR="004D4889">
        <w:rPr>
          <w:rFonts w:ascii="Bookman Old Style" w:hAnsi="Bookman Old Style" w:cstheme="minorHAnsi"/>
          <w:sz w:val="24"/>
          <w:szCs w:val="24"/>
        </w:rPr>
        <w:t xml:space="preserve">launched and </w:t>
      </w:r>
      <w:r w:rsidR="00FF13F8">
        <w:rPr>
          <w:rFonts w:ascii="Bookman Old Style" w:hAnsi="Bookman Old Style" w:cstheme="minorHAnsi"/>
          <w:sz w:val="24"/>
          <w:szCs w:val="24"/>
        </w:rPr>
        <w:t>being monitor by DFS, Ministry of Finance</w:t>
      </w:r>
      <w:r w:rsidR="00653FF6" w:rsidRPr="00653FF6">
        <w:rPr>
          <w:rFonts w:ascii="Bookman Old Style" w:hAnsi="Bookman Old Style" w:cstheme="minorHAnsi"/>
          <w:sz w:val="24"/>
          <w:szCs w:val="24"/>
        </w:rPr>
        <w:t>.</w:t>
      </w:r>
      <w:r w:rsidR="00764906">
        <w:rPr>
          <w:rFonts w:ascii="Bookman Old Style" w:hAnsi="Bookman Old Style" w:cstheme="minorHAnsi"/>
          <w:sz w:val="24"/>
          <w:szCs w:val="24"/>
        </w:rPr>
        <w:t xml:space="preserve"> </w:t>
      </w:r>
      <w:r w:rsidR="006B461E">
        <w:rPr>
          <w:rFonts w:ascii="Bookman Old Style" w:hAnsi="Bookman Old Style" w:cstheme="minorHAnsi"/>
          <w:sz w:val="24"/>
          <w:szCs w:val="24"/>
        </w:rPr>
        <w:t xml:space="preserve">Banks </w:t>
      </w:r>
      <w:r w:rsidR="00653FF6">
        <w:rPr>
          <w:rFonts w:ascii="Bookman Old Style" w:hAnsi="Bookman Old Style" w:cstheme="minorHAnsi"/>
          <w:sz w:val="24"/>
          <w:szCs w:val="24"/>
        </w:rPr>
        <w:t xml:space="preserve">to ensure deputation of adequate staff for the camps </w:t>
      </w:r>
      <w:r w:rsidR="00203D4D">
        <w:rPr>
          <w:rFonts w:ascii="Bookman Old Style" w:hAnsi="Bookman Old Style" w:cstheme="minorHAnsi"/>
          <w:sz w:val="24"/>
          <w:szCs w:val="24"/>
        </w:rPr>
        <w:t xml:space="preserve">to complete the identified 845 clusters/ GP </w:t>
      </w:r>
      <w:r w:rsidR="00653FF6">
        <w:rPr>
          <w:rFonts w:ascii="Bookman Old Style" w:hAnsi="Bookman Old Style" w:cstheme="minorHAnsi"/>
          <w:sz w:val="24"/>
          <w:szCs w:val="24"/>
        </w:rPr>
        <w:t>within 30.06.2023</w:t>
      </w:r>
    </w:p>
    <w:sectPr w:rsidR="00E603B6" w:rsidRPr="00E603B6" w:rsidSect="0065366B">
      <w:headerReference w:type="default" r:id="rId8"/>
      <w:footerReference w:type="default" r:id="rId9"/>
      <w:pgSz w:w="11906" w:h="16838" w:code="9"/>
      <w:pgMar w:top="1440" w:right="720" w:bottom="1440" w:left="720" w:header="0" w:footer="0" w:gutter="0"/>
      <w:pgNumType w:start="1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66121" w14:textId="77777777" w:rsidR="00222F17" w:rsidRDefault="00222F17">
      <w:r>
        <w:separator/>
      </w:r>
    </w:p>
  </w:endnote>
  <w:endnote w:type="continuationSeparator" w:id="0">
    <w:p w14:paraId="325650FF" w14:textId="77777777" w:rsidR="00222F17" w:rsidRDefault="0022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55B37" w14:textId="77777777" w:rsidR="00B07129" w:rsidRDefault="00B07129">
    <w:pPr>
      <w:pStyle w:val="Footer"/>
      <w:pBdr>
        <w:top w:val="single" w:sz="4" w:space="1" w:color="D9D9D9" w:themeColor="background1" w:themeShade="D9"/>
      </w:pBdr>
      <w:jc w:val="right"/>
    </w:pPr>
    <w:r>
      <w:t>Page-</w:t>
    </w:r>
    <w:sdt>
      <w:sdtPr>
        <w:id w:val="34800713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|14</w:t>
        </w:r>
      </w:sdtContent>
    </w:sdt>
  </w:p>
  <w:p w14:paraId="21994D1C" w14:textId="77777777" w:rsidR="00B07129" w:rsidRDefault="00B07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7C6E6" w14:textId="77777777" w:rsidR="00222F17" w:rsidRDefault="00222F17">
      <w:r>
        <w:separator/>
      </w:r>
    </w:p>
  </w:footnote>
  <w:footnote w:type="continuationSeparator" w:id="0">
    <w:p w14:paraId="6FF9FFB6" w14:textId="77777777" w:rsidR="00222F17" w:rsidRDefault="0022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3AA1D" w14:textId="77777777" w:rsidR="00B07129" w:rsidRDefault="00B07129">
    <w:pPr>
      <w:pStyle w:val="Header"/>
      <w:jc w:val="center"/>
    </w:pPr>
  </w:p>
  <w:p w14:paraId="3EA1D222" w14:textId="77777777" w:rsidR="00B07129" w:rsidRDefault="00B07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A14D5A0"/>
    <w:name w:val="WFNum1"/>
    <w:lvl w:ilvl="0">
      <w:start w:val="1"/>
      <w:numFmt w:val="bullet"/>
      <w:lvlText w:val=""/>
      <w:lvlJc w:val="left"/>
      <w:pPr>
        <w:tabs>
          <w:tab w:val="num" w:pos="4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name w:val="WFNum2"/>
    <w:lvl w:ilvl="0">
      <w:start w:val="1"/>
      <w:numFmt w:val="lowerLetter"/>
      <w:lvlText w:val="(%1)"/>
      <w:lvlJc w:val="left"/>
      <w:pPr>
        <w:tabs>
          <w:tab w:val="num" w:pos="510"/>
        </w:tabs>
        <w:ind w:left="510" w:hanging="420"/>
      </w:pPr>
      <w:rPr>
        <w:rFonts w:eastAsia="Arial Unicode MS" w:cs="Arial"/>
      </w:rPr>
    </w:lvl>
    <w:lvl w:ilvl="1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Tahoma" w:hAnsi="Tahoma"/>
      </w:rPr>
    </w:lvl>
    <w:lvl w:ilvl="2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Tahoma" w:hAnsi="Tahoma"/>
      </w:rPr>
    </w:lvl>
    <w:lvl w:ilvl="3">
      <w:start w:val="1"/>
      <w:numFmt w:val="bullet"/>
      <w:lvlText w:val="●"/>
      <w:lvlJc w:val="left"/>
      <w:pPr>
        <w:tabs>
          <w:tab w:val="num" w:pos="1680"/>
        </w:tabs>
        <w:ind w:left="1680" w:hanging="420"/>
      </w:pPr>
      <w:rPr>
        <w:rFonts w:ascii="Tahoma" w:hAnsi="Tahoma"/>
      </w:rPr>
    </w:lvl>
    <w:lvl w:ilvl="4">
      <w:start w:val="1"/>
      <w:numFmt w:val="bullet"/>
      <w:lvlText w:val="●"/>
      <w:lvlJc w:val="left"/>
      <w:pPr>
        <w:tabs>
          <w:tab w:val="num" w:pos="2100"/>
        </w:tabs>
        <w:ind w:left="2100" w:hanging="420"/>
      </w:pPr>
      <w:rPr>
        <w:rFonts w:ascii="Tahoma" w:hAnsi="Tahoma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420"/>
      </w:pPr>
      <w:rPr>
        <w:rFonts w:ascii="Tahoma" w:hAnsi="Tahoma"/>
      </w:rPr>
    </w:lvl>
    <w:lvl w:ilvl="6">
      <w:start w:val="1"/>
      <w:numFmt w:val="bullet"/>
      <w:lvlText w:val="●"/>
      <w:lvlJc w:val="left"/>
      <w:pPr>
        <w:tabs>
          <w:tab w:val="num" w:pos="2940"/>
        </w:tabs>
        <w:ind w:left="2940" w:hanging="420"/>
      </w:pPr>
      <w:rPr>
        <w:rFonts w:ascii="Tahoma" w:hAnsi="Tahoma"/>
      </w:rPr>
    </w:lvl>
    <w:lvl w:ilvl="7">
      <w:start w:val="1"/>
      <w:numFmt w:val="bullet"/>
      <w:lvlText w:val="●"/>
      <w:lvlJc w:val="left"/>
      <w:pPr>
        <w:tabs>
          <w:tab w:val="num" w:pos="3360"/>
        </w:tabs>
        <w:ind w:left="3360" w:hanging="420"/>
      </w:pPr>
      <w:rPr>
        <w:rFonts w:ascii="Tahoma" w:hAnsi="Tahoma"/>
      </w:rPr>
    </w:lvl>
    <w:lvl w:ilvl="8">
      <w:start w:val="1"/>
      <w:numFmt w:val="bullet"/>
      <w:lvlText w:val="●"/>
      <w:lvlJc w:val="left"/>
      <w:pPr>
        <w:tabs>
          <w:tab w:val="num" w:pos="3780"/>
        </w:tabs>
        <w:ind w:left="3780" w:hanging="420"/>
      </w:pPr>
      <w:rPr>
        <w:rFonts w:ascii="Tahoma" w:hAnsi="Tahoma"/>
      </w:rPr>
    </w:lvl>
  </w:abstractNum>
  <w:abstractNum w:abstractNumId="2" w15:restartNumberingAfterBreak="0">
    <w:nsid w:val="00000003"/>
    <w:multiLevelType w:val="multilevel"/>
    <w:tmpl w:val="00000003"/>
    <w:name w:val="WFNum3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eastAsia="Arial Unicode MS" w:cs="Arial"/>
      </w:rPr>
    </w:lvl>
    <w:lvl w:ilvl="1">
      <w:start w:val="1"/>
      <w:numFmt w:val="bullet"/>
      <w:lvlText w:val="●"/>
      <w:lvlJc w:val="left"/>
      <w:pPr>
        <w:tabs>
          <w:tab w:val="num" w:pos="840"/>
        </w:tabs>
        <w:ind w:left="840" w:hanging="420"/>
      </w:pPr>
      <w:rPr>
        <w:rFonts w:ascii="Tahoma" w:hAnsi="Tahoma"/>
      </w:rPr>
    </w:lvl>
    <w:lvl w:ilvl="2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Tahoma" w:hAnsi="Tahoma"/>
      </w:rPr>
    </w:lvl>
    <w:lvl w:ilvl="3">
      <w:start w:val="1"/>
      <w:numFmt w:val="bullet"/>
      <w:lvlText w:val="●"/>
      <w:lvlJc w:val="left"/>
      <w:pPr>
        <w:tabs>
          <w:tab w:val="num" w:pos="1680"/>
        </w:tabs>
        <w:ind w:left="1680" w:hanging="420"/>
      </w:pPr>
      <w:rPr>
        <w:rFonts w:ascii="Tahoma" w:hAnsi="Tahoma"/>
      </w:rPr>
    </w:lvl>
    <w:lvl w:ilvl="4">
      <w:start w:val="1"/>
      <w:numFmt w:val="bullet"/>
      <w:lvlText w:val="●"/>
      <w:lvlJc w:val="left"/>
      <w:pPr>
        <w:tabs>
          <w:tab w:val="num" w:pos="2100"/>
        </w:tabs>
        <w:ind w:left="2100" w:hanging="420"/>
      </w:pPr>
      <w:rPr>
        <w:rFonts w:ascii="Tahoma" w:hAnsi="Tahoma"/>
      </w:rPr>
    </w:lvl>
    <w:lvl w:ilvl="5">
      <w:start w:val="1"/>
      <w:numFmt w:val="bullet"/>
      <w:lvlText w:val="●"/>
      <w:lvlJc w:val="left"/>
      <w:pPr>
        <w:tabs>
          <w:tab w:val="num" w:pos="2520"/>
        </w:tabs>
        <w:ind w:left="2520" w:hanging="420"/>
      </w:pPr>
      <w:rPr>
        <w:rFonts w:ascii="Tahoma" w:hAnsi="Tahoma"/>
      </w:rPr>
    </w:lvl>
    <w:lvl w:ilvl="6">
      <w:start w:val="1"/>
      <w:numFmt w:val="bullet"/>
      <w:lvlText w:val="●"/>
      <w:lvlJc w:val="left"/>
      <w:pPr>
        <w:tabs>
          <w:tab w:val="num" w:pos="2940"/>
        </w:tabs>
        <w:ind w:left="2940" w:hanging="420"/>
      </w:pPr>
      <w:rPr>
        <w:rFonts w:ascii="Tahoma" w:hAnsi="Tahoma"/>
      </w:rPr>
    </w:lvl>
    <w:lvl w:ilvl="7">
      <w:start w:val="1"/>
      <w:numFmt w:val="bullet"/>
      <w:lvlText w:val="●"/>
      <w:lvlJc w:val="left"/>
      <w:pPr>
        <w:tabs>
          <w:tab w:val="num" w:pos="3360"/>
        </w:tabs>
        <w:ind w:left="3360" w:hanging="420"/>
      </w:pPr>
      <w:rPr>
        <w:rFonts w:ascii="Tahoma" w:hAnsi="Tahoma"/>
      </w:rPr>
    </w:lvl>
    <w:lvl w:ilvl="8">
      <w:start w:val="1"/>
      <w:numFmt w:val="bullet"/>
      <w:lvlText w:val="●"/>
      <w:lvlJc w:val="left"/>
      <w:pPr>
        <w:tabs>
          <w:tab w:val="num" w:pos="3780"/>
        </w:tabs>
        <w:ind w:left="3780" w:hanging="420"/>
      </w:pPr>
      <w:rPr>
        <w:rFonts w:ascii="Tahoma" w:hAnsi="Tahoma"/>
      </w:rPr>
    </w:lvl>
  </w:abstractNum>
  <w:abstractNum w:abstractNumId="3" w15:restartNumberingAfterBreak="0">
    <w:nsid w:val="00000004"/>
    <w:multiLevelType w:val="multilevel"/>
    <w:tmpl w:val="00000004"/>
    <w:name w:val="WFNum4"/>
    <w:lvl w:ilvl="0">
      <w:start w:val="1"/>
      <w:numFmt w:val="bullet"/>
      <w:lvlText w:val="➢"/>
      <w:lvlJc w:val="left"/>
      <w:pPr>
        <w:tabs>
          <w:tab w:val="num" w:pos="420"/>
        </w:tabs>
        <w:ind w:left="420" w:hanging="420"/>
      </w:pPr>
      <w:rPr>
        <w:rFonts w:ascii="Tahoma" w:hAnsi="Tahoma"/>
      </w:rPr>
    </w:lvl>
    <w:lvl w:ilvl="1">
      <w:start w:val="1"/>
      <w:numFmt w:val="bullet"/>
      <w:lvlText w:val="➢"/>
      <w:lvlJc w:val="left"/>
      <w:pPr>
        <w:tabs>
          <w:tab w:val="num" w:pos="840"/>
        </w:tabs>
        <w:ind w:left="840" w:hanging="420"/>
      </w:pPr>
      <w:rPr>
        <w:rFonts w:ascii="Tahoma" w:hAnsi="Tahoma"/>
      </w:rPr>
    </w:lvl>
    <w:lvl w:ilvl="2">
      <w:start w:val="1"/>
      <w:numFmt w:val="bullet"/>
      <w:lvlText w:val="➢"/>
      <w:lvlJc w:val="left"/>
      <w:pPr>
        <w:tabs>
          <w:tab w:val="num" w:pos="1260"/>
        </w:tabs>
        <w:ind w:left="1260" w:hanging="420"/>
      </w:pPr>
      <w:rPr>
        <w:rFonts w:ascii="Tahoma" w:hAnsi="Tahoma"/>
      </w:rPr>
    </w:lvl>
    <w:lvl w:ilvl="3">
      <w:start w:val="1"/>
      <w:numFmt w:val="bullet"/>
      <w:lvlText w:val="➢"/>
      <w:lvlJc w:val="left"/>
      <w:pPr>
        <w:tabs>
          <w:tab w:val="num" w:pos="1680"/>
        </w:tabs>
        <w:ind w:left="1680" w:hanging="420"/>
      </w:pPr>
      <w:rPr>
        <w:rFonts w:ascii="Tahoma" w:hAnsi="Tahoma"/>
      </w:rPr>
    </w:lvl>
    <w:lvl w:ilvl="4">
      <w:start w:val="1"/>
      <w:numFmt w:val="bullet"/>
      <w:lvlText w:val="➢"/>
      <w:lvlJc w:val="left"/>
      <w:pPr>
        <w:tabs>
          <w:tab w:val="num" w:pos="2100"/>
        </w:tabs>
        <w:ind w:left="2100" w:hanging="420"/>
      </w:pPr>
      <w:rPr>
        <w:rFonts w:ascii="Tahoma" w:hAnsi="Tahoma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420"/>
      </w:pPr>
      <w:rPr>
        <w:rFonts w:ascii="Tahoma" w:hAnsi="Tahoma"/>
      </w:rPr>
    </w:lvl>
    <w:lvl w:ilvl="6">
      <w:start w:val="1"/>
      <w:numFmt w:val="bullet"/>
      <w:lvlText w:val="➢"/>
      <w:lvlJc w:val="left"/>
      <w:pPr>
        <w:tabs>
          <w:tab w:val="num" w:pos="2940"/>
        </w:tabs>
        <w:ind w:left="2940" w:hanging="420"/>
      </w:pPr>
      <w:rPr>
        <w:rFonts w:ascii="Tahoma" w:hAnsi="Tahoma"/>
      </w:rPr>
    </w:lvl>
    <w:lvl w:ilvl="7">
      <w:start w:val="1"/>
      <w:numFmt w:val="bullet"/>
      <w:lvlText w:val="➢"/>
      <w:lvlJc w:val="left"/>
      <w:pPr>
        <w:tabs>
          <w:tab w:val="num" w:pos="3360"/>
        </w:tabs>
        <w:ind w:left="3360" w:hanging="420"/>
      </w:pPr>
      <w:rPr>
        <w:rFonts w:ascii="Tahoma" w:hAnsi="Tahoma"/>
      </w:rPr>
    </w:lvl>
    <w:lvl w:ilvl="8">
      <w:start w:val="1"/>
      <w:numFmt w:val="bullet"/>
      <w:lvlText w:val="➢"/>
      <w:lvlJc w:val="left"/>
      <w:pPr>
        <w:tabs>
          <w:tab w:val="num" w:pos="3780"/>
        </w:tabs>
        <w:ind w:left="3780" w:hanging="420"/>
      </w:pPr>
      <w:rPr>
        <w:rFonts w:ascii="Tahoma" w:hAnsi="Tahoma"/>
      </w:rPr>
    </w:lvl>
  </w:abstractNum>
  <w:abstractNum w:abstractNumId="4" w15:restartNumberingAfterBreak="0">
    <w:nsid w:val="00000005"/>
    <w:multiLevelType w:val="multilevel"/>
    <w:tmpl w:val="00000005"/>
    <w:name w:val="WFNum6"/>
    <w:lvl w:ilvl="0">
      <w:start w:val="1"/>
      <w:numFmt w:val="lowerRoman"/>
      <w:lvlText w:val="(%1)"/>
      <w:lvlJc w:val="left"/>
      <w:pPr>
        <w:tabs>
          <w:tab w:val="num" w:pos="4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3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6480" w:hanging="180"/>
      </w:pPr>
    </w:lvl>
  </w:abstractNum>
  <w:abstractNum w:abstractNumId="5" w15:restartNumberingAfterBreak="0">
    <w:nsid w:val="08E85447"/>
    <w:multiLevelType w:val="hybridMultilevel"/>
    <w:tmpl w:val="EAA2D242"/>
    <w:lvl w:ilvl="0" w:tplc="D9B485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7AF1"/>
    <w:multiLevelType w:val="hybridMultilevel"/>
    <w:tmpl w:val="E390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740DA"/>
    <w:multiLevelType w:val="hybridMultilevel"/>
    <w:tmpl w:val="AA9A8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26B0F"/>
    <w:multiLevelType w:val="hybridMultilevel"/>
    <w:tmpl w:val="B5B8F8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C0B93"/>
    <w:multiLevelType w:val="hybridMultilevel"/>
    <w:tmpl w:val="51D8506C"/>
    <w:lvl w:ilvl="0" w:tplc="96FEFC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802A7"/>
    <w:multiLevelType w:val="hybridMultilevel"/>
    <w:tmpl w:val="C4048164"/>
    <w:lvl w:ilvl="0" w:tplc="EA74E1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953BB"/>
    <w:multiLevelType w:val="hybridMultilevel"/>
    <w:tmpl w:val="852EC652"/>
    <w:lvl w:ilvl="0" w:tplc="8D5C8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23FFF"/>
    <w:multiLevelType w:val="hybridMultilevel"/>
    <w:tmpl w:val="8BD4BA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47512"/>
    <w:multiLevelType w:val="hybridMultilevel"/>
    <w:tmpl w:val="B0A2E3F6"/>
    <w:lvl w:ilvl="0" w:tplc="25EE66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57EC"/>
    <w:multiLevelType w:val="hybridMultilevel"/>
    <w:tmpl w:val="8940CE9E"/>
    <w:lvl w:ilvl="0" w:tplc="E45C1A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4065F"/>
    <w:multiLevelType w:val="hybridMultilevel"/>
    <w:tmpl w:val="134C9960"/>
    <w:lvl w:ilvl="0" w:tplc="877E5C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DA46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4C0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848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8CA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867B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7EE2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A63D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96D2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12672"/>
    <w:multiLevelType w:val="hybridMultilevel"/>
    <w:tmpl w:val="D848BBE8"/>
    <w:lvl w:ilvl="0" w:tplc="38907D96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77DD7"/>
    <w:multiLevelType w:val="hybridMultilevel"/>
    <w:tmpl w:val="8DD0E7F4"/>
    <w:lvl w:ilvl="0" w:tplc="BE3EF9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E0F"/>
    <w:multiLevelType w:val="hybridMultilevel"/>
    <w:tmpl w:val="DD00D9B4"/>
    <w:lvl w:ilvl="0" w:tplc="47ECBE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5"/>
  </w:num>
  <w:num w:numId="5">
    <w:abstractNumId w:val="15"/>
  </w:num>
  <w:num w:numId="6">
    <w:abstractNumId w:val="18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0"/>
  </w:num>
  <w:num w:numId="12">
    <w:abstractNumId w:val="12"/>
  </w:num>
  <w:num w:numId="13">
    <w:abstractNumId w:val="7"/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53"/>
    <w:rsid w:val="00000248"/>
    <w:rsid w:val="000029FB"/>
    <w:rsid w:val="00003BBE"/>
    <w:rsid w:val="00006966"/>
    <w:rsid w:val="00006D1B"/>
    <w:rsid w:val="000100B5"/>
    <w:rsid w:val="000101ED"/>
    <w:rsid w:val="000103A6"/>
    <w:rsid w:val="0001074D"/>
    <w:rsid w:val="00010846"/>
    <w:rsid w:val="00010D8D"/>
    <w:rsid w:val="00010FAC"/>
    <w:rsid w:val="000116AC"/>
    <w:rsid w:val="00013033"/>
    <w:rsid w:val="000139F8"/>
    <w:rsid w:val="000141E7"/>
    <w:rsid w:val="00014D3C"/>
    <w:rsid w:val="00014DE8"/>
    <w:rsid w:val="0001527C"/>
    <w:rsid w:val="000163A2"/>
    <w:rsid w:val="00017570"/>
    <w:rsid w:val="000218E8"/>
    <w:rsid w:val="000224FF"/>
    <w:rsid w:val="00022E92"/>
    <w:rsid w:val="000237EA"/>
    <w:rsid w:val="00024A75"/>
    <w:rsid w:val="00024F25"/>
    <w:rsid w:val="0002635E"/>
    <w:rsid w:val="0003080D"/>
    <w:rsid w:val="00030853"/>
    <w:rsid w:val="00031A6E"/>
    <w:rsid w:val="00031C73"/>
    <w:rsid w:val="000347F8"/>
    <w:rsid w:val="00035F63"/>
    <w:rsid w:val="00036095"/>
    <w:rsid w:val="000363B4"/>
    <w:rsid w:val="000377B2"/>
    <w:rsid w:val="000405AF"/>
    <w:rsid w:val="000405D9"/>
    <w:rsid w:val="000414D4"/>
    <w:rsid w:val="00041583"/>
    <w:rsid w:val="00041A1F"/>
    <w:rsid w:val="00041A2D"/>
    <w:rsid w:val="00041FA0"/>
    <w:rsid w:val="00043BF8"/>
    <w:rsid w:val="00045478"/>
    <w:rsid w:val="000457A5"/>
    <w:rsid w:val="000466DD"/>
    <w:rsid w:val="00050068"/>
    <w:rsid w:val="0005126C"/>
    <w:rsid w:val="000518EE"/>
    <w:rsid w:val="00051D36"/>
    <w:rsid w:val="0005396C"/>
    <w:rsid w:val="00053C34"/>
    <w:rsid w:val="00054848"/>
    <w:rsid w:val="0005585C"/>
    <w:rsid w:val="00055CA7"/>
    <w:rsid w:val="00057EF8"/>
    <w:rsid w:val="00060817"/>
    <w:rsid w:val="00060EBD"/>
    <w:rsid w:val="000616D1"/>
    <w:rsid w:val="000655E6"/>
    <w:rsid w:val="0006578F"/>
    <w:rsid w:val="00066C6F"/>
    <w:rsid w:val="0007000F"/>
    <w:rsid w:val="000710CA"/>
    <w:rsid w:val="0007180A"/>
    <w:rsid w:val="00071D39"/>
    <w:rsid w:val="00071DC7"/>
    <w:rsid w:val="00072800"/>
    <w:rsid w:val="00073032"/>
    <w:rsid w:val="000747FD"/>
    <w:rsid w:val="000753C0"/>
    <w:rsid w:val="000768B1"/>
    <w:rsid w:val="000770C6"/>
    <w:rsid w:val="0007769E"/>
    <w:rsid w:val="000776BC"/>
    <w:rsid w:val="00077D4A"/>
    <w:rsid w:val="00082CF2"/>
    <w:rsid w:val="00082E30"/>
    <w:rsid w:val="00083136"/>
    <w:rsid w:val="00083CEA"/>
    <w:rsid w:val="00086256"/>
    <w:rsid w:val="000873D3"/>
    <w:rsid w:val="00091828"/>
    <w:rsid w:val="00091993"/>
    <w:rsid w:val="00092D70"/>
    <w:rsid w:val="000931C3"/>
    <w:rsid w:val="0009387A"/>
    <w:rsid w:val="000945D8"/>
    <w:rsid w:val="000948F0"/>
    <w:rsid w:val="00094FFB"/>
    <w:rsid w:val="000965FD"/>
    <w:rsid w:val="000A0974"/>
    <w:rsid w:val="000A0F77"/>
    <w:rsid w:val="000A15EF"/>
    <w:rsid w:val="000A38D3"/>
    <w:rsid w:val="000A5887"/>
    <w:rsid w:val="000A6799"/>
    <w:rsid w:val="000A6ABC"/>
    <w:rsid w:val="000B0DC0"/>
    <w:rsid w:val="000B423B"/>
    <w:rsid w:val="000B491C"/>
    <w:rsid w:val="000B4972"/>
    <w:rsid w:val="000B4D07"/>
    <w:rsid w:val="000B5AF2"/>
    <w:rsid w:val="000B64FF"/>
    <w:rsid w:val="000B7C15"/>
    <w:rsid w:val="000C2E0F"/>
    <w:rsid w:val="000C3534"/>
    <w:rsid w:val="000C4B4D"/>
    <w:rsid w:val="000C4D36"/>
    <w:rsid w:val="000C54FA"/>
    <w:rsid w:val="000C5B31"/>
    <w:rsid w:val="000D020F"/>
    <w:rsid w:val="000D0C76"/>
    <w:rsid w:val="000D0D65"/>
    <w:rsid w:val="000D139C"/>
    <w:rsid w:val="000D198C"/>
    <w:rsid w:val="000D2AB1"/>
    <w:rsid w:val="000D2C9F"/>
    <w:rsid w:val="000D3096"/>
    <w:rsid w:val="000D38D4"/>
    <w:rsid w:val="000D5218"/>
    <w:rsid w:val="000D5247"/>
    <w:rsid w:val="000D5AF1"/>
    <w:rsid w:val="000D5C11"/>
    <w:rsid w:val="000D5D49"/>
    <w:rsid w:val="000D631B"/>
    <w:rsid w:val="000D7154"/>
    <w:rsid w:val="000E0157"/>
    <w:rsid w:val="000E02A7"/>
    <w:rsid w:val="000E2D96"/>
    <w:rsid w:val="000E3C33"/>
    <w:rsid w:val="000E46DF"/>
    <w:rsid w:val="000E5356"/>
    <w:rsid w:val="000E5C8D"/>
    <w:rsid w:val="000E5EBA"/>
    <w:rsid w:val="000F04BB"/>
    <w:rsid w:val="000F1A77"/>
    <w:rsid w:val="000F267C"/>
    <w:rsid w:val="000F348F"/>
    <w:rsid w:val="000F47F5"/>
    <w:rsid w:val="000F4B1E"/>
    <w:rsid w:val="000F4F9D"/>
    <w:rsid w:val="000F517A"/>
    <w:rsid w:val="000F543A"/>
    <w:rsid w:val="000F59C4"/>
    <w:rsid w:val="000F5B88"/>
    <w:rsid w:val="000F7AEA"/>
    <w:rsid w:val="000F7B81"/>
    <w:rsid w:val="00100463"/>
    <w:rsid w:val="00100A14"/>
    <w:rsid w:val="00100B96"/>
    <w:rsid w:val="00101592"/>
    <w:rsid w:val="00101745"/>
    <w:rsid w:val="00102B9D"/>
    <w:rsid w:val="001035E4"/>
    <w:rsid w:val="00104D5F"/>
    <w:rsid w:val="001068D8"/>
    <w:rsid w:val="001073D5"/>
    <w:rsid w:val="00107A16"/>
    <w:rsid w:val="00107D38"/>
    <w:rsid w:val="001108E1"/>
    <w:rsid w:val="0011091F"/>
    <w:rsid w:val="001113C7"/>
    <w:rsid w:val="001125CE"/>
    <w:rsid w:val="00112EBC"/>
    <w:rsid w:val="00114199"/>
    <w:rsid w:val="001157F1"/>
    <w:rsid w:val="00116838"/>
    <w:rsid w:val="001203A3"/>
    <w:rsid w:val="00121EC6"/>
    <w:rsid w:val="001220C2"/>
    <w:rsid w:val="001224EE"/>
    <w:rsid w:val="001227DD"/>
    <w:rsid w:val="00122C35"/>
    <w:rsid w:val="0012352E"/>
    <w:rsid w:val="001246DD"/>
    <w:rsid w:val="001248A8"/>
    <w:rsid w:val="00126334"/>
    <w:rsid w:val="00126688"/>
    <w:rsid w:val="0012748B"/>
    <w:rsid w:val="0013045E"/>
    <w:rsid w:val="00131159"/>
    <w:rsid w:val="00132215"/>
    <w:rsid w:val="001336D1"/>
    <w:rsid w:val="0013664D"/>
    <w:rsid w:val="00137A1D"/>
    <w:rsid w:val="001400CC"/>
    <w:rsid w:val="00141BB9"/>
    <w:rsid w:val="0014211A"/>
    <w:rsid w:val="00142239"/>
    <w:rsid w:val="001423F4"/>
    <w:rsid w:val="001429E5"/>
    <w:rsid w:val="00142D1D"/>
    <w:rsid w:val="00143741"/>
    <w:rsid w:val="00143876"/>
    <w:rsid w:val="00143C2B"/>
    <w:rsid w:val="00143E6B"/>
    <w:rsid w:val="001448B7"/>
    <w:rsid w:val="001453B4"/>
    <w:rsid w:val="001457E7"/>
    <w:rsid w:val="00145FF8"/>
    <w:rsid w:val="00146F06"/>
    <w:rsid w:val="00147891"/>
    <w:rsid w:val="0015068A"/>
    <w:rsid w:val="00150DEF"/>
    <w:rsid w:val="00153A5B"/>
    <w:rsid w:val="00153B07"/>
    <w:rsid w:val="00153FA8"/>
    <w:rsid w:val="00154526"/>
    <w:rsid w:val="001565A1"/>
    <w:rsid w:val="0015739D"/>
    <w:rsid w:val="0016182D"/>
    <w:rsid w:val="00162CC2"/>
    <w:rsid w:val="001639A3"/>
    <w:rsid w:val="001663E7"/>
    <w:rsid w:val="00167089"/>
    <w:rsid w:val="00171113"/>
    <w:rsid w:val="00172D3A"/>
    <w:rsid w:val="0017305A"/>
    <w:rsid w:val="00173B57"/>
    <w:rsid w:val="00174181"/>
    <w:rsid w:val="00175F6A"/>
    <w:rsid w:val="0017690F"/>
    <w:rsid w:val="00176B2A"/>
    <w:rsid w:val="00177681"/>
    <w:rsid w:val="00177994"/>
    <w:rsid w:val="00177DF7"/>
    <w:rsid w:val="001808E5"/>
    <w:rsid w:val="00180A5D"/>
    <w:rsid w:val="00180AC5"/>
    <w:rsid w:val="00181AB2"/>
    <w:rsid w:val="0018267D"/>
    <w:rsid w:val="00182EFB"/>
    <w:rsid w:val="001874E9"/>
    <w:rsid w:val="00190158"/>
    <w:rsid w:val="00192249"/>
    <w:rsid w:val="001927A5"/>
    <w:rsid w:val="00192DF4"/>
    <w:rsid w:val="001948EC"/>
    <w:rsid w:val="00196F9B"/>
    <w:rsid w:val="00197FE2"/>
    <w:rsid w:val="001A0051"/>
    <w:rsid w:val="001A0AFA"/>
    <w:rsid w:val="001A15AF"/>
    <w:rsid w:val="001A17B5"/>
    <w:rsid w:val="001A1965"/>
    <w:rsid w:val="001A1B46"/>
    <w:rsid w:val="001A22CE"/>
    <w:rsid w:val="001A46D6"/>
    <w:rsid w:val="001A4C2D"/>
    <w:rsid w:val="001A5C2B"/>
    <w:rsid w:val="001A72AE"/>
    <w:rsid w:val="001A73E3"/>
    <w:rsid w:val="001A77A6"/>
    <w:rsid w:val="001B059F"/>
    <w:rsid w:val="001B0CF5"/>
    <w:rsid w:val="001B11A9"/>
    <w:rsid w:val="001B15E9"/>
    <w:rsid w:val="001B185F"/>
    <w:rsid w:val="001B1A8E"/>
    <w:rsid w:val="001B1B0E"/>
    <w:rsid w:val="001B1E35"/>
    <w:rsid w:val="001B1F81"/>
    <w:rsid w:val="001B210F"/>
    <w:rsid w:val="001B287C"/>
    <w:rsid w:val="001B3D1C"/>
    <w:rsid w:val="001B3ED1"/>
    <w:rsid w:val="001B4969"/>
    <w:rsid w:val="001B5592"/>
    <w:rsid w:val="001B6943"/>
    <w:rsid w:val="001B761F"/>
    <w:rsid w:val="001B7915"/>
    <w:rsid w:val="001B7C5A"/>
    <w:rsid w:val="001C0531"/>
    <w:rsid w:val="001C168F"/>
    <w:rsid w:val="001C1E17"/>
    <w:rsid w:val="001C2787"/>
    <w:rsid w:val="001C2C92"/>
    <w:rsid w:val="001C35BC"/>
    <w:rsid w:val="001C4925"/>
    <w:rsid w:val="001C4A1A"/>
    <w:rsid w:val="001C595E"/>
    <w:rsid w:val="001C6A02"/>
    <w:rsid w:val="001C79A2"/>
    <w:rsid w:val="001D0A99"/>
    <w:rsid w:val="001D2052"/>
    <w:rsid w:val="001D24C3"/>
    <w:rsid w:val="001D2583"/>
    <w:rsid w:val="001D355B"/>
    <w:rsid w:val="001D373B"/>
    <w:rsid w:val="001D6352"/>
    <w:rsid w:val="001D6FD2"/>
    <w:rsid w:val="001D7A0C"/>
    <w:rsid w:val="001E0205"/>
    <w:rsid w:val="001E182B"/>
    <w:rsid w:val="001E1D93"/>
    <w:rsid w:val="001E3477"/>
    <w:rsid w:val="001E3D93"/>
    <w:rsid w:val="001E4043"/>
    <w:rsid w:val="001E4352"/>
    <w:rsid w:val="001E4821"/>
    <w:rsid w:val="001E4D77"/>
    <w:rsid w:val="001E5353"/>
    <w:rsid w:val="001E70F5"/>
    <w:rsid w:val="001E71F0"/>
    <w:rsid w:val="001E787A"/>
    <w:rsid w:val="001F0A91"/>
    <w:rsid w:val="001F0FE8"/>
    <w:rsid w:val="001F1232"/>
    <w:rsid w:val="001F134F"/>
    <w:rsid w:val="001F1AC9"/>
    <w:rsid w:val="001F2AF4"/>
    <w:rsid w:val="001F321C"/>
    <w:rsid w:val="001F39B4"/>
    <w:rsid w:val="001F39E1"/>
    <w:rsid w:val="001F4CD8"/>
    <w:rsid w:val="001F722C"/>
    <w:rsid w:val="00201FA4"/>
    <w:rsid w:val="00202AA0"/>
    <w:rsid w:val="00202E53"/>
    <w:rsid w:val="00203C2E"/>
    <w:rsid w:val="00203D4D"/>
    <w:rsid w:val="00205145"/>
    <w:rsid w:val="00206182"/>
    <w:rsid w:val="00207509"/>
    <w:rsid w:val="002076E9"/>
    <w:rsid w:val="00207701"/>
    <w:rsid w:val="00207774"/>
    <w:rsid w:val="00210A67"/>
    <w:rsid w:val="0021166D"/>
    <w:rsid w:val="002120BC"/>
    <w:rsid w:val="00213396"/>
    <w:rsid w:val="002136FF"/>
    <w:rsid w:val="00213D07"/>
    <w:rsid w:val="00214AD6"/>
    <w:rsid w:val="00214FF1"/>
    <w:rsid w:val="00215A1D"/>
    <w:rsid w:val="00216B69"/>
    <w:rsid w:val="00216D9C"/>
    <w:rsid w:val="002174F8"/>
    <w:rsid w:val="0021793D"/>
    <w:rsid w:val="00220A14"/>
    <w:rsid w:val="0022144C"/>
    <w:rsid w:val="0022144F"/>
    <w:rsid w:val="00221E13"/>
    <w:rsid w:val="00222653"/>
    <w:rsid w:val="002226F2"/>
    <w:rsid w:val="002227DD"/>
    <w:rsid w:val="00222F17"/>
    <w:rsid w:val="0022378F"/>
    <w:rsid w:val="00223934"/>
    <w:rsid w:val="0022393B"/>
    <w:rsid w:val="00223A94"/>
    <w:rsid w:val="0022419E"/>
    <w:rsid w:val="00224348"/>
    <w:rsid w:val="002243E2"/>
    <w:rsid w:val="00224467"/>
    <w:rsid w:val="00224493"/>
    <w:rsid w:val="002264B2"/>
    <w:rsid w:val="002274AB"/>
    <w:rsid w:val="002274E2"/>
    <w:rsid w:val="002278A3"/>
    <w:rsid w:val="00230692"/>
    <w:rsid w:val="00230B48"/>
    <w:rsid w:val="0023180A"/>
    <w:rsid w:val="00232497"/>
    <w:rsid w:val="00232621"/>
    <w:rsid w:val="00234520"/>
    <w:rsid w:val="002349CE"/>
    <w:rsid w:val="0023526B"/>
    <w:rsid w:val="00235BE6"/>
    <w:rsid w:val="002375B0"/>
    <w:rsid w:val="00237B3F"/>
    <w:rsid w:val="00237CF9"/>
    <w:rsid w:val="00240FAA"/>
    <w:rsid w:val="00241629"/>
    <w:rsid w:val="002426F5"/>
    <w:rsid w:val="002429C5"/>
    <w:rsid w:val="00242AC1"/>
    <w:rsid w:val="0024300C"/>
    <w:rsid w:val="002433F4"/>
    <w:rsid w:val="002437E9"/>
    <w:rsid w:val="00243CB1"/>
    <w:rsid w:val="00244211"/>
    <w:rsid w:val="002444EC"/>
    <w:rsid w:val="0024457A"/>
    <w:rsid w:val="002445CF"/>
    <w:rsid w:val="00244B24"/>
    <w:rsid w:val="00244BAD"/>
    <w:rsid w:val="002453B0"/>
    <w:rsid w:val="00245D20"/>
    <w:rsid w:val="00246157"/>
    <w:rsid w:val="002478F9"/>
    <w:rsid w:val="00250482"/>
    <w:rsid w:val="002513FA"/>
    <w:rsid w:val="0025162F"/>
    <w:rsid w:val="0025164F"/>
    <w:rsid w:val="00252C0C"/>
    <w:rsid w:val="002532FD"/>
    <w:rsid w:val="00253A88"/>
    <w:rsid w:val="00253AEB"/>
    <w:rsid w:val="00253F14"/>
    <w:rsid w:val="002548AE"/>
    <w:rsid w:val="00255607"/>
    <w:rsid w:val="00255C82"/>
    <w:rsid w:val="00256841"/>
    <w:rsid w:val="002632F0"/>
    <w:rsid w:val="002637AD"/>
    <w:rsid w:val="00263868"/>
    <w:rsid w:val="002638E0"/>
    <w:rsid w:val="00264487"/>
    <w:rsid w:val="00264D90"/>
    <w:rsid w:val="00265A5B"/>
    <w:rsid w:val="00265AC8"/>
    <w:rsid w:val="00265E32"/>
    <w:rsid w:val="00265E9C"/>
    <w:rsid w:val="0026637D"/>
    <w:rsid w:val="00266741"/>
    <w:rsid w:val="00266A9B"/>
    <w:rsid w:val="00266DEB"/>
    <w:rsid w:val="002704A6"/>
    <w:rsid w:val="00270ECF"/>
    <w:rsid w:val="00271B2B"/>
    <w:rsid w:val="00272B57"/>
    <w:rsid w:val="00273D8C"/>
    <w:rsid w:val="002742A9"/>
    <w:rsid w:val="00276A7B"/>
    <w:rsid w:val="002770A1"/>
    <w:rsid w:val="002771B4"/>
    <w:rsid w:val="002772CC"/>
    <w:rsid w:val="00280317"/>
    <w:rsid w:val="00280421"/>
    <w:rsid w:val="00280A47"/>
    <w:rsid w:val="002812A1"/>
    <w:rsid w:val="0028198B"/>
    <w:rsid w:val="00282A5B"/>
    <w:rsid w:val="00282F64"/>
    <w:rsid w:val="002832F7"/>
    <w:rsid w:val="002837D6"/>
    <w:rsid w:val="00284049"/>
    <w:rsid w:val="00284679"/>
    <w:rsid w:val="00287601"/>
    <w:rsid w:val="00291113"/>
    <w:rsid w:val="0029193E"/>
    <w:rsid w:val="00292699"/>
    <w:rsid w:val="00292A5B"/>
    <w:rsid w:val="00294BDA"/>
    <w:rsid w:val="002951E8"/>
    <w:rsid w:val="00295683"/>
    <w:rsid w:val="00295A85"/>
    <w:rsid w:val="00296DAC"/>
    <w:rsid w:val="00297B1A"/>
    <w:rsid w:val="002A026B"/>
    <w:rsid w:val="002A04F6"/>
    <w:rsid w:val="002A0BF0"/>
    <w:rsid w:val="002A2F1B"/>
    <w:rsid w:val="002A5FD8"/>
    <w:rsid w:val="002A6262"/>
    <w:rsid w:val="002A6692"/>
    <w:rsid w:val="002A66A4"/>
    <w:rsid w:val="002A6D0F"/>
    <w:rsid w:val="002A75D8"/>
    <w:rsid w:val="002B01CD"/>
    <w:rsid w:val="002B0631"/>
    <w:rsid w:val="002B0C7B"/>
    <w:rsid w:val="002B0E20"/>
    <w:rsid w:val="002B18B7"/>
    <w:rsid w:val="002B2324"/>
    <w:rsid w:val="002B23F0"/>
    <w:rsid w:val="002B2735"/>
    <w:rsid w:val="002B2AAA"/>
    <w:rsid w:val="002B31C0"/>
    <w:rsid w:val="002B3B4F"/>
    <w:rsid w:val="002B4044"/>
    <w:rsid w:val="002B43C8"/>
    <w:rsid w:val="002B48F6"/>
    <w:rsid w:val="002B5A83"/>
    <w:rsid w:val="002B5B28"/>
    <w:rsid w:val="002B6D9F"/>
    <w:rsid w:val="002B6F49"/>
    <w:rsid w:val="002C01DE"/>
    <w:rsid w:val="002C0B3D"/>
    <w:rsid w:val="002C1179"/>
    <w:rsid w:val="002C3F5A"/>
    <w:rsid w:val="002C4740"/>
    <w:rsid w:val="002C5B35"/>
    <w:rsid w:val="002C733C"/>
    <w:rsid w:val="002D0F10"/>
    <w:rsid w:val="002D1D47"/>
    <w:rsid w:val="002D234D"/>
    <w:rsid w:val="002D62AD"/>
    <w:rsid w:val="002D691C"/>
    <w:rsid w:val="002D71E6"/>
    <w:rsid w:val="002D72E4"/>
    <w:rsid w:val="002D7666"/>
    <w:rsid w:val="002E143B"/>
    <w:rsid w:val="002E3C11"/>
    <w:rsid w:val="002E3C28"/>
    <w:rsid w:val="002E410F"/>
    <w:rsid w:val="002E56F4"/>
    <w:rsid w:val="002E595C"/>
    <w:rsid w:val="002E5EBB"/>
    <w:rsid w:val="002E7148"/>
    <w:rsid w:val="002E75C3"/>
    <w:rsid w:val="002E7CEA"/>
    <w:rsid w:val="002F0A60"/>
    <w:rsid w:val="002F1538"/>
    <w:rsid w:val="002F1F6E"/>
    <w:rsid w:val="002F31C8"/>
    <w:rsid w:val="002F37C1"/>
    <w:rsid w:val="002F3C93"/>
    <w:rsid w:val="002F5CBB"/>
    <w:rsid w:val="002F6348"/>
    <w:rsid w:val="002F698B"/>
    <w:rsid w:val="002F7588"/>
    <w:rsid w:val="002F7FCC"/>
    <w:rsid w:val="00300675"/>
    <w:rsid w:val="00300747"/>
    <w:rsid w:val="00302997"/>
    <w:rsid w:val="003036E1"/>
    <w:rsid w:val="00303801"/>
    <w:rsid w:val="00304230"/>
    <w:rsid w:val="00304B4A"/>
    <w:rsid w:val="003054C8"/>
    <w:rsid w:val="00305D4D"/>
    <w:rsid w:val="00306743"/>
    <w:rsid w:val="00306E37"/>
    <w:rsid w:val="00310A22"/>
    <w:rsid w:val="00310A65"/>
    <w:rsid w:val="00310AB3"/>
    <w:rsid w:val="00310F8F"/>
    <w:rsid w:val="00310FC3"/>
    <w:rsid w:val="003126F0"/>
    <w:rsid w:val="00312A92"/>
    <w:rsid w:val="00312B57"/>
    <w:rsid w:val="003130C4"/>
    <w:rsid w:val="003135DE"/>
    <w:rsid w:val="0031536D"/>
    <w:rsid w:val="00316905"/>
    <w:rsid w:val="00316CBA"/>
    <w:rsid w:val="00317169"/>
    <w:rsid w:val="00317C08"/>
    <w:rsid w:val="00321E02"/>
    <w:rsid w:val="00322299"/>
    <w:rsid w:val="00322FBD"/>
    <w:rsid w:val="003238FC"/>
    <w:rsid w:val="00324603"/>
    <w:rsid w:val="003263FC"/>
    <w:rsid w:val="00326E68"/>
    <w:rsid w:val="00331AC8"/>
    <w:rsid w:val="0033444B"/>
    <w:rsid w:val="00335576"/>
    <w:rsid w:val="00336D8F"/>
    <w:rsid w:val="00337026"/>
    <w:rsid w:val="00341259"/>
    <w:rsid w:val="003413C5"/>
    <w:rsid w:val="00341858"/>
    <w:rsid w:val="00341C02"/>
    <w:rsid w:val="00341C0D"/>
    <w:rsid w:val="0034297D"/>
    <w:rsid w:val="00343201"/>
    <w:rsid w:val="00343BDF"/>
    <w:rsid w:val="0034405B"/>
    <w:rsid w:val="00344D5A"/>
    <w:rsid w:val="00344FCD"/>
    <w:rsid w:val="00346159"/>
    <w:rsid w:val="003474FA"/>
    <w:rsid w:val="00350065"/>
    <w:rsid w:val="003503C1"/>
    <w:rsid w:val="00351319"/>
    <w:rsid w:val="00351ACD"/>
    <w:rsid w:val="00351B69"/>
    <w:rsid w:val="003529F3"/>
    <w:rsid w:val="003531C1"/>
    <w:rsid w:val="00353DAC"/>
    <w:rsid w:val="00354EAD"/>
    <w:rsid w:val="00355340"/>
    <w:rsid w:val="003558D4"/>
    <w:rsid w:val="00355CBF"/>
    <w:rsid w:val="00356958"/>
    <w:rsid w:val="00356CB8"/>
    <w:rsid w:val="00356ED2"/>
    <w:rsid w:val="00357070"/>
    <w:rsid w:val="0035790F"/>
    <w:rsid w:val="00357EB4"/>
    <w:rsid w:val="00357F19"/>
    <w:rsid w:val="00357FB2"/>
    <w:rsid w:val="00361478"/>
    <w:rsid w:val="003614C2"/>
    <w:rsid w:val="00361992"/>
    <w:rsid w:val="00361EF6"/>
    <w:rsid w:val="0036232C"/>
    <w:rsid w:val="00362411"/>
    <w:rsid w:val="00362434"/>
    <w:rsid w:val="003630EB"/>
    <w:rsid w:val="00363638"/>
    <w:rsid w:val="003638CD"/>
    <w:rsid w:val="003657C6"/>
    <w:rsid w:val="00365A8C"/>
    <w:rsid w:val="00365AF0"/>
    <w:rsid w:val="00365CB2"/>
    <w:rsid w:val="003672AC"/>
    <w:rsid w:val="003679DE"/>
    <w:rsid w:val="00367F05"/>
    <w:rsid w:val="003715F0"/>
    <w:rsid w:val="0037251D"/>
    <w:rsid w:val="00372B82"/>
    <w:rsid w:val="00373AAD"/>
    <w:rsid w:val="00373E26"/>
    <w:rsid w:val="00374ECE"/>
    <w:rsid w:val="00375024"/>
    <w:rsid w:val="00375396"/>
    <w:rsid w:val="0037573A"/>
    <w:rsid w:val="00375E4C"/>
    <w:rsid w:val="003768D4"/>
    <w:rsid w:val="00377AE1"/>
    <w:rsid w:val="00380493"/>
    <w:rsid w:val="003807C8"/>
    <w:rsid w:val="00380DC5"/>
    <w:rsid w:val="00381463"/>
    <w:rsid w:val="00381B5D"/>
    <w:rsid w:val="00384570"/>
    <w:rsid w:val="0038469C"/>
    <w:rsid w:val="00384A95"/>
    <w:rsid w:val="0038573A"/>
    <w:rsid w:val="003857FD"/>
    <w:rsid w:val="00387E01"/>
    <w:rsid w:val="00390216"/>
    <w:rsid w:val="003908A2"/>
    <w:rsid w:val="003911AB"/>
    <w:rsid w:val="00391314"/>
    <w:rsid w:val="003916C6"/>
    <w:rsid w:val="00394D19"/>
    <w:rsid w:val="00395E16"/>
    <w:rsid w:val="003963D4"/>
    <w:rsid w:val="003A0051"/>
    <w:rsid w:val="003A038D"/>
    <w:rsid w:val="003A0464"/>
    <w:rsid w:val="003A0AE3"/>
    <w:rsid w:val="003A13D0"/>
    <w:rsid w:val="003A1570"/>
    <w:rsid w:val="003A1B22"/>
    <w:rsid w:val="003A226F"/>
    <w:rsid w:val="003A2326"/>
    <w:rsid w:val="003A239E"/>
    <w:rsid w:val="003A2725"/>
    <w:rsid w:val="003A3535"/>
    <w:rsid w:val="003A3B64"/>
    <w:rsid w:val="003A5070"/>
    <w:rsid w:val="003A5FD3"/>
    <w:rsid w:val="003A65C3"/>
    <w:rsid w:val="003A7E92"/>
    <w:rsid w:val="003B0862"/>
    <w:rsid w:val="003B1185"/>
    <w:rsid w:val="003B35C3"/>
    <w:rsid w:val="003B55DC"/>
    <w:rsid w:val="003B5DE6"/>
    <w:rsid w:val="003B67A9"/>
    <w:rsid w:val="003B7385"/>
    <w:rsid w:val="003B75BA"/>
    <w:rsid w:val="003C134F"/>
    <w:rsid w:val="003C1F7B"/>
    <w:rsid w:val="003C2DA0"/>
    <w:rsid w:val="003C3540"/>
    <w:rsid w:val="003C36CC"/>
    <w:rsid w:val="003C56B5"/>
    <w:rsid w:val="003C5BEA"/>
    <w:rsid w:val="003C7CC0"/>
    <w:rsid w:val="003D0005"/>
    <w:rsid w:val="003D171C"/>
    <w:rsid w:val="003D1E0F"/>
    <w:rsid w:val="003D2ABB"/>
    <w:rsid w:val="003D49F9"/>
    <w:rsid w:val="003D72E3"/>
    <w:rsid w:val="003E0ABD"/>
    <w:rsid w:val="003E2F5C"/>
    <w:rsid w:val="003E3294"/>
    <w:rsid w:val="003E34F8"/>
    <w:rsid w:val="003E4319"/>
    <w:rsid w:val="003E5AE4"/>
    <w:rsid w:val="003E6183"/>
    <w:rsid w:val="003E6C13"/>
    <w:rsid w:val="003E70FA"/>
    <w:rsid w:val="003E77BF"/>
    <w:rsid w:val="003E792A"/>
    <w:rsid w:val="003E7D64"/>
    <w:rsid w:val="003F0E8A"/>
    <w:rsid w:val="003F199F"/>
    <w:rsid w:val="003F2375"/>
    <w:rsid w:val="003F2D9D"/>
    <w:rsid w:val="003F3A3F"/>
    <w:rsid w:val="003F3A82"/>
    <w:rsid w:val="003F442A"/>
    <w:rsid w:val="003F4A1A"/>
    <w:rsid w:val="003F4BFB"/>
    <w:rsid w:val="003F4DB9"/>
    <w:rsid w:val="003F7C91"/>
    <w:rsid w:val="00400361"/>
    <w:rsid w:val="00400BB8"/>
    <w:rsid w:val="00401AD0"/>
    <w:rsid w:val="004044A9"/>
    <w:rsid w:val="00405351"/>
    <w:rsid w:val="00405557"/>
    <w:rsid w:val="00405A2B"/>
    <w:rsid w:val="00405B51"/>
    <w:rsid w:val="004060FA"/>
    <w:rsid w:val="0040636B"/>
    <w:rsid w:val="00406D40"/>
    <w:rsid w:val="00407279"/>
    <w:rsid w:val="00407347"/>
    <w:rsid w:val="004116AE"/>
    <w:rsid w:val="00412121"/>
    <w:rsid w:val="004123AE"/>
    <w:rsid w:val="00417349"/>
    <w:rsid w:val="00417DF8"/>
    <w:rsid w:val="00420626"/>
    <w:rsid w:val="00420F6F"/>
    <w:rsid w:val="0042128D"/>
    <w:rsid w:val="004219C0"/>
    <w:rsid w:val="00423A46"/>
    <w:rsid w:val="00423E4E"/>
    <w:rsid w:val="00424931"/>
    <w:rsid w:val="00425132"/>
    <w:rsid w:val="004252E5"/>
    <w:rsid w:val="00425861"/>
    <w:rsid w:val="00425E05"/>
    <w:rsid w:val="00426C20"/>
    <w:rsid w:val="00427B1B"/>
    <w:rsid w:val="00430594"/>
    <w:rsid w:val="00430918"/>
    <w:rsid w:val="004312C9"/>
    <w:rsid w:val="00431428"/>
    <w:rsid w:val="00434CCF"/>
    <w:rsid w:val="00435579"/>
    <w:rsid w:val="004355A3"/>
    <w:rsid w:val="00435994"/>
    <w:rsid w:val="004359DC"/>
    <w:rsid w:val="004359E3"/>
    <w:rsid w:val="00436ACA"/>
    <w:rsid w:val="0044270F"/>
    <w:rsid w:val="00442B4B"/>
    <w:rsid w:val="004447D8"/>
    <w:rsid w:val="00444DE9"/>
    <w:rsid w:val="0044514F"/>
    <w:rsid w:val="004452C3"/>
    <w:rsid w:val="004453DC"/>
    <w:rsid w:val="0044691D"/>
    <w:rsid w:val="00446FCB"/>
    <w:rsid w:val="00447246"/>
    <w:rsid w:val="00450D5E"/>
    <w:rsid w:val="00451218"/>
    <w:rsid w:val="00451DB0"/>
    <w:rsid w:val="004537C7"/>
    <w:rsid w:val="004541E2"/>
    <w:rsid w:val="004544EA"/>
    <w:rsid w:val="00455F73"/>
    <w:rsid w:val="00456451"/>
    <w:rsid w:val="004569CD"/>
    <w:rsid w:val="00457495"/>
    <w:rsid w:val="00461F85"/>
    <w:rsid w:val="004625A7"/>
    <w:rsid w:val="004635BD"/>
    <w:rsid w:val="004653AB"/>
    <w:rsid w:val="00465BDD"/>
    <w:rsid w:val="004666CF"/>
    <w:rsid w:val="004671CD"/>
    <w:rsid w:val="004673AB"/>
    <w:rsid w:val="00467522"/>
    <w:rsid w:val="00467618"/>
    <w:rsid w:val="004676CF"/>
    <w:rsid w:val="004677F7"/>
    <w:rsid w:val="00467A09"/>
    <w:rsid w:val="00467AF1"/>
    <w:rsid w:val="00467E1B"/>
    <w:rsid w:val="00470272"/>
    <w:rsid w:val="00470E5D"/>
    <w:rsid w:val="00471826"/>
    <w:rsid w:val="00471CA8"/>
    <w:rsid w:val="00471E71"/>
    <w:rsid w:val="00472ADD"/>
    <w:rsid w:val="00472BC0"/>
    <w:rsid w:val="00472FC2"/>
    <w:rsid w:val="00473652"/>
    <w:rsid w:val="00474098"/>
    <w:rsid w:val="004751EB"/>
    <w:rsid w:val="00476391"/>
    <w:rsid w:val="00476812"/>
    <w:rsid w:val="00477705"/>
    <w:rsid w:val="00477E64"/>
    <w:rsid w:val="00481D95"/>
    <w:rsid w:val="004828D6"/>
    <w:rsid w:val="004840B9"/>
    <w:rsid w:val="00484A05"/>
    <w:rsid w:val="00484AF8"/>
    <w:rsid w:val="00485EFF"/>
    <w:rsid w:val="004863EB"/>
    <w:rsid w:val="004864EB"/>
    <w:rsid w:val="00490A28"/>
    <w:rsid w:val="004943ED"/>
    <w:rsid w:val="00494A71"/>
    <w:rsid w:val="00495060"/>
    <w:rsid w:val="00495166"/>
    <w:rsid w:val="00495378"/>
    <w:rsid w:val="00495495"/>
    <w:rsid w:val="00495CCB"/>
    <w:rsid w:val="00495E65"/>
    <w:rsid w:val="00496958"/>
    <w:rsid w:val="004A18BE"/>
    <w:rsid w:val="004A2898"/>
    <w:rsid w:val="004A356E"/>
    <w:rsid w:val="004A40B8"/>
    <w:rsid w:val="004A4462"/>
    <w:rsid w:val="004A4811"/>
    <w:rsid w:val="004A52DD"/>
    <w:rsid w:val="004A5451"/>
    <w:rsid w:val="004A604A"/>
    <w:rsid w:val="004B0EC6"/>
    <w:rsid w:val="004B0EED"/>
    <w:rsid w:val="004B2038"/>
    <w:rsid w:val="004B20AB"/>
    <w:rsid w:val="004B2936"/>
    <w:rsid w:val="004B2B0A"/>
    <w:rsid w:val="004B3483"/>
    <w:rsid w:val="004B37F5"/>
    <w:rsid w:val="004B4EB3"/>
    <w:rsid w:val="004B54BA"/>
    <w:rsid w:val="004B6580"/>
    <w:rsid w:val="004B7BD1"/>
    <w:rsid w:val="004C0471"/>
    <w:rsid w:val="004C08A0"/>
    <w:rsid w:val="004C0968"/>
    <w:rsid w:val="004C2AA1"/>
    <w:rsid w:val="004C2FBC"/>
    <w:rsid w:val="004C43A6"/>
    <w:rsid w:val="004C4BB7"/>
    <w:rsid w:val="004C4BFD"/>
    <w:rsid w:val="004C57A1"/>
    <w:rsid w:val="004C6DA2"/>
    <w:rsid w:val="004C7289"/>
    <w:rsid w:val="004C7BF4"/>
    <w:rsid w:val="004C7FA4"/>
    <w:rsid w:val="004D0207"/>
    <w:rsid w:val="004D064D"/>
    <w:rsid w:val="004D0CF0"/>
    <w:rsid w:val="004D144F"/>
    <w:rsid w:val="004D1EA0"/>
    <w:rsid w:val="004D3751"/>
    <w:rsid w:val="004D4066"/>
    <w:rsid w:val="004D4816"/>
    <w:rsid w:val="004D4889"/>
    <w:rsid w:val="004D48CC"/>
    <w:rsid w:val="004D5017"/>
    <w:rsid w:val="004D524F"/>
    <w:rsid w:val="004D5422"/>
    <w:rsid w:val="004D6068"/>
    <w:rsid w:val="004E003D"/>
    <w:rsid w:val="004E2335"/>
    <w:rsid w:val="004E2D96"/>
    <w:rsid w:val="004E2E58"/>
    <w:rsid w:val="004E30FB"/>
    <w:rsid w:val="004E3D3C"/>
    <w:rsid w:val="004E3D66"/>
    <w:rsid w:val="004E45A1"/>
    <w:rsid w:val="004E4753"/>
    <w:rsid w:val="004E5728"/>
    <w:rsid w:val="004E790D"/>
    <w:rsid w:val="004F035A"/>
    <w:rsid w:val="004F0384"/>
    <w:rsid w:val="004F0549"/>
    <w:rsid w:val="004F08BC"/>
    <w:rsid w:val="004F1C67"/>
    <w:rsid w:val="004F2350"/>
    <w:rsid w:val="004F2C35"/>
    <w:rsid w:val="004F4AED"/>
    <w:rsid w:val="004F4E5F"/>
    <w:rsid w:val="004F62D8"/>
    <w:rsid w:val="004F654C"/>
    <w:rsid w:val="004F6E7B"/>
    <w:rsid w:val="004F799F"/>
    <w:rsid w:val="0050084E"/>
    <w:rsid w:val="00500CE6"/>
    <w:rsid w:val="00500F10"/>
    <w:rsid w:val="00501569"/>
    <w:rsid w:val="00501956"/>
    <w:rsid w:val="005036F3"/>
    <w:rsid w:val="00504D5D"/>
    <w:rsid w:val="00505B61"/>
    <w:rsid w:val="00506383"/>
    <w:rsid w:val="005065D2"/>
    <w:rsid w:val="00506664"/>
    <w:rsid w:val="0050713A"/>
    <w:rsid w:val="00507387"/>
    <w:rsid w:val="005101F0"/>
    <w:rsid w:val="00510720"/>
    <w:rsid w:val="00510FF3"/>
    <w:rsid w:val="00511703"/>
    <w:rsid w:val="005118C1"/>
    <w:rsid w:val="005125B0"/>
    <w:rsid w:val="005128AF"/>
    <w:rsid w:val="00512A61"/>
    <w:rsid w:val="005131B8"/>
    <w:rsid w:val="005133E8"/>
    <w:rsid w:val="00514214"/>
    <w:rsid w:val="00515032"/>
    <w:rsid w:val="005157FF"/>
    <w:rsid w:val="00516B3B"/>
    <w:rsid w:val="00517661"/>
    <w:rsid w:val="00517873"/>
    <w:rsid w:val="00520354"/>
    <w:rsid w:val="005206C8"/>
    <w:rsid w:val="0052204A"/>
    <w:rsid w:val="00522292"/>
    <w:rsid w:val="00522C93"/>
    <w:rsid w:val="00523699"/>
    <w:rsid w:val="00523AC8"/>
    <w:rsid w:val="0052665E"/>
    <w:rsid w:val="005301FC"/>
    <w:rsid w:val="00530598"/>
    <w:rsid w:val="005326E4"/>
    <w:rsid w:val="00532AB6"/>
    <w:rsid w:val="00532C46"/>
    <w:rsid w:val="00532CA2"/>
    <w:rsid w:val="005330A4"/>
    <w:rsid w:val="005360AA"/>
    <w:rsid w:val="0053657D"/>
    <w:rsid w:val="00536671"/>
    <w:rsid w:val="00536938"/>
    <w:rsid w:val="00536DF9"/>
    <w:rsid w:val="00537107"/>
    <w:rsid w:val="005375D0"/>
    <w:rsid w:val="00540473"/>
    <w:rsid w:val="00540849"/>
    <w:rsid w:val="00541A46"/>
    <w:rsid w:val="00542E19"/>
    <w:rsid w:val="00542EBE"/>
    <w:rsid w:val="00544EA2"/>
    <w:rsid w:val="005456E6"/>
    <w:rsid w:val="00545FF6"/>
    <w:rsid w:val="00546CD3"/>
    <w:rsid w:val="00546F46"/>
    <w:rsid w:val="00547B7D"/>
    <w:rsid w:val="00550D9F"/>
    <w:rsid w:val="005515A1"/>
    <w:rsid w:val="005524C4"/>
    <w:rsid w:val="00552A1B"/>
    <w:rsid w:val="005531EE"/>
    <w:rsid w:val="00553617"/>
    <w:rsid w:val="00553706"/>
    <w:rsid w:val="005538BF"/>
    <w:rsid w:val="00555492"/>
    <w:rsid w:val="00555C60"/>
    <w:rsid w:val="005565AC"/>
    <w:rsid w:val="005567A8"/>
    <w:rsid w:val="005574FC"/>
    <w:rsid w:val="005627F4"/>
    <w:rsid w:val="005634FC"/>
    <w:rsid w:val="00565402"/>
    <w:rsid w:val="00565ACD"/>
    <w:rsid w:val="00566262"/>
    <w:rsid w:val="00566E05"/>
    <w:rsid w:val="005674FB"/>
    <w:rsid w:val="005708DC"/>
    <w:rsid w:val="005708EC"/>
    <w:rsid w:val="00570D43"/>
    <w:rsid w:val="00571757"/>
    <w:rsid w:val="00571877"/>
    <w:rsid w:val="005724DB"/>
    <w:rsid w:val="00572AF0"/>
    <w:rsid w:val="0057313E"/>
    <w:rsid w:val="00573819"/>
    <w:rsid w:val="00574B0D"/>
    <w:rsid w:val="00575C6F"/>
    <w:rsid w:val="00577A48"/>
    <w:rsid w:val="00580046"/>
    <w:rsid w:val="00581395"/>
    <w:rsid w:val="005817D8"/>
    <w:rsid w:val="00582D7E"/>
    <w:rsid w:val="005833A1"/>
    <w:rsid w:val="00584955"/>
    <w:rsid w:val="00584964"/>
    <w:rsid w:val="005849C4"/>
    <w:rsid w:val="00584DA1"/>
    <w:rsid w:val="00584F43"/>
    <w:rsid w:val="00586EC0"/>
    <w:rsid w:val="00587347"/>
    <w:rsid w:val="00587978"/>
    <w:rsid w:val="00587D77"/>
    <w:rsid w:val="005908AD"/>
    <w:rsid w:val="00590AAC"/>
    <w:rsid w:val="0059137E"/>
    <w:rsid w:val="0059141A"/>
    <w:rsid w:val="005919DC"/>
    <w:rsid w:val="00592404"/>
    <w:rsid w:val="0059437E"/>
    <w:rsid w:val="00594C6D"/>
    <w:rsid w:val="00595655"/>
    <w:rsid w:val="00595AC9"/>
    <w:rsid w:val="00595CA3"/>
    <w:rsid w:val="00596D86"/>
    <w:rsid w:val="00596E70"/>
    <w:rsid w:val="005971DA"/>
    <w:rsid w:val="005A16E1"/>
    <w:rsid w:val="005A3546"/>
    <w:rsid w:val="005A3A60"/>
    <w:rsid w:val="005A7500"/>
    <w:rsid w:val="005B015D"/>
    <w:rsid w:val="005B0E9A"/>
    <w:rsid w:val="005B0F6C"/>
    <w:rsid w:val="005B37CE"/>
    <w:rsid w:val="005B3E2B"/>
    <w:rsid w:val="005B3EAA"/>
    <w:rsid w:val="005B4363"/>
    <w:rsid w:val="005B4CA3"/>
    <w:rsid w:val="005B4F6E"/>
    <w:rsid w:val="005B576F"/>
    <w:rsid w:val="005B57A9"/>
    <w:rsid w:val="005B5D41"/>
    <w:rsid w:val="005B6631"/>
    <w:rsid w:val="005B7A4F"/>
    <w:rsid w:val="005B7B67"/>
    <w:rsid w:val="005C183A"/>
    <w:rsid w:val="005C1CD0"/>
    <w:rsid w:val="005C225D"/>
    <w:rsid w:val="005C22A0"/>
    <w:rsid w:val="005C2486"/>
    <w:rsid w:val="005C3256"/>
    <w:rsid w:val="005C46C5"/>
    <w:rsid w:val="005C4762"/>
    <w:rsid w:val="005C4F45"/>
    <w:rsid w:val="005C5029"/>
    <w:rsid w:val="005C509E"/>
    <w:rsid w:val="005C678F"/>
    <w:rsid w:val="005C6F08"/>
    <w:rsid w:val="005C6F13"/>
    <w:rsid w:val="005C7601"/>
    <w:rsid w:val="005C7FDF"/>
    <w:rsid w:val="005D0AF4"/>
    <w:rsid w:val="005D0D99"/>
    <w:rsid w:val="005D1E02"/>
    <w:rsid w:val="005D2F83"/>
    <w:rsid w:val="005D3501"/>
    <w:rsid w:val="005D420C"/>
    <w:rsid w:val="005D54E7"/>
    <w:rsid w:val="005E0040"/>
    <w:rsid w:val="005E14EC"/>
    <w:rsid w:val="005E1E7E"/>
    <w:rsid w:val="005E2330"/>
    <w:rsid w:val="005E2866"/>
    <w:rsid w:val="005E2BAE"/>
    <w:rsid w:val="005E3654"/>
    <w:rsid w:val="005E48B9"/>
    <w:rsid w:val="005E56C7"/>
    <w:rsid w:val="005E6840"/>
    <w:rsid w:val="005E6959"/>
    <w:rsid w:val="005E69B9"/>
    <w:rsid w:val="005F1144"/>
    <w:rsid w:val="005F1D2A"/>
    <w:rsid w:val="005F2A31"/>
    <w:rsid w:val="005F46F3"/>
    <w:rsid w:val="005F47BF"/>
    <w:rsid w:val="005F51A7"/>
    <w:rsid w:val="005F540D"/>
    <w:rsid w:val="005F57EE"/>
    <w:rsid w:val="005F5C55"/>
    <w:rsid w:val="005F5C67"/>
    <w:rsid w:val="005F5DF7"/>
    <w:rsid w:val="005F5E35"/>
    <w:rsid w:val="005F6D09"/>
    <w:rsid w:val="005F7020"/>
    <w:rsid w:val="00600A16"/>
    <w:rsid w:val="00600DD7"/>
    <w:rsid w:val="00601230"/>
    <w:rsid w:val="00601C42"/>
    <w:rsid w:val="006041B5"/>
    <w:rsid w:val="006044B2"/>
    <w:rsid w:val="00604906"/>
    <w:rsid w:val="00604AC6"/>
    <w:rsid w:val="00605EA6"/>
    <w:rsid w:val="00606973"/>
    <w:rsid w:val="00606A18"/>
    <w:rsid w:val="00606DE2"/>
    <w:rsid w:val="00606F08"/>
    <w:rsid w:val="00610967"/>
    <w:rsid w:val="00611F5B"/>
    <w:rsid w:val="0061262C"/>
    <w:rsid w:val="00612E22"/>
    <w:rsid w:val="00612F33"/>
    <w:rsid w:val="006137B0"/>
    <w:rsid w:val="00613D5D"/>
    <w:rsid w:val="006145D9"/>
    <w:rsid w:val="00614982"/>
    <w:rsid w:val="006157B2"/>
    <w:rsid w:val="00617F5E"/>
    <w:rsid w:val="006212F8"/>
    <w:rsid w:val="00622379"/>
    <w:rsid w:val="00622FF1"/>
    <w:rsid w:val="00623552"/>
    <w:rsid w:val="00623926"/>
    <w:rsid w:val="00623BEF"/>
    <w:rsid w:val="006242F6"/>
    <w:rsid w:val="0062456B"/>
    <w:rsid w:val="00625140"/>
    <w:rsid w:val="00625412"/>
    <w:rsid w:val="006258AD"/>
    <w:rsid w:val="00625E0D"/>
    <w:rsid w:val="00625F77"/>
    <w:rsid w:val="00626834"/>
    <w:rsid w:val="00626F75"/>
    <w:rsid w:val="00627E0C"/>
    <w:rsid w:val="006302E1"/>
    <w:rsid w:val="00630451"/>
    <w:rsid w:val="00631043"/>
    <w:rsid w:val="0063116E"/>
    <w:rsid w:val="006315E7"/>
    <w:rsid w:val="00632F75"/>
    <w:rsid w:val="00634913"/>
    <w:rsid w:val="00634F29"/>
    <w:rsid w:val="0063581E"/>
    <w:rsid w:val="00636397"/>
    <w:rsid w:val="00636DB7"/>
    <w:rsid w:val="00636FFA"/>
    <w:rsid w:val="00637A94"/>
    <w:rsid w:val="006402A2"/>
    <w:rsid w:val="006416A5"/>
    <w:rsid w:val="00641D73"/>
    <w:rsid w:val="00643417"/>
    <w:rsid w:val="00643E8C"/>
    <w:rsid w:val="006457F4"/>
    <w:rsid w:val="00645B6E"/>
    <w:rsid w:val="00645D3A"/>
    <w:rsid w:val="006467EE"/>
    <w:rsid w:val="0064782F"/>
    <w:rsid w:val="00647DA3"/>
    <w:rsid w:val="0065003A"/>
    <w:rsid w:val="00650466"/>
    <w:rsid w:val="00652999"/>
    <w:rsid w:val="00652AFC"/>
    <w:rsid w:val="00652CAC"/>
    <w:rsid w:val="00652CBF"/>
    <w:rsid w:val="00652E72"/>
    <w:rsid w:val="0065366B"/>
    <w:rsid w:val="006536CE"/>
    <w:rsid w:val="00653E3D"/>
    <w:rsid w:val="00653EBE"/>
    <w:rsid w:val="00653EFB"/>
    <w:rsid w:val="00653FF6"/>
    <w:rsid w:val="00654E83"/>
    <w:rsid w:val="00655069"/>
    <w:rsid w:val="00655357"/>
    <w:rsid w:val="00655B27"/>
    <w:rsid w:val="0065610E"/>
    <w:rsid w:val="006563DA"/>
    <w:rsid w:val="006565A0"/>
    <w:rsid w:val="00656E8F"/>
    <w:rsid w:val="006612F1"/>
    <w:rsid w:val="00661CCC"/>
    <w:rsid w:val="00664DD1"/>
    <w:rsid w:val="006653C3"/>
    <w:rsid w:val="00665723"/>
    <w:rsid w:val="00666149"/>
    <w:rsid w:val="00666285"/>
    <w:rsid w:val="00666628"/>
    <w:rsid w:val="00667F88"/>
    <w:rsid w:val="006703B7"/>
    <w:rsid w:val="0067135E"/>
    <w:rsid w:val="006714A6"/>
    <w:rsid w:val="006729F6"/>
    <w:rsid w:val="00672CCB"/>
    <w:rsid w:val="00672CEA"/>
    <w:rsid w:val="00673A73"/>
    <w:rsid w:val="00673B5E"/>
    <w:rsid w:val="00673D78"/>
    <w:rsid w:val="006758F2"/>
    <w:rsid w:val="00675F4A"/>
    <w:rsid w:val="00676340"/>
    <w:rsid w:val="006767BE"/>
    <w:rsid w:val="006769CD"/>
    <w:rsid w:val="00676D99"/>
    <w:rsid w:val="00680692"/>
    <w:rsid w:val="00680BA8"/>
    <w:rsid w:val="00680BBE"/>
    <w:rsid w:val="00680FCC"/>
    <w:rsid w:val="006827F0"/>
    <w:rsid w:val="0068380A"/>
    <w:rsid w:val="00683C30"/>
    <w:rsid w:val="00684055"/>
    <w:rsid w:val="006854CF"/>
    <w:rsid w:val="0069089A"/>
    <w:rsid w:val="00690CC0"/>
    <w:rsid w:val="00690D56"/>
    <w:rsid w:val="00691FB2"/>
    <w:rsid w:val="006928B9"/>
    <w:rsid w:val="00692BF2"/>
    <w:rsid w:val="00692DE5"/>
    <w:rsid w:val="00693055"/>
    <w:rsid w:val="00693C78"/>
    <w:rsid w:val="006946F3"/>
    <w:rsid w:val="00695E11"/>
    <w:rsid w:val="00695F62"/>
    <w:rsid w:val="006971F0"/>
    <w:rsid w:val="006A0D17"/>
    <w:rsid w:val="006A1555"/>
    <w:rsid w:val="006A22B4"/>
    <w:rsid w:val="006A2DDF"/>
    <w:rsid w:val="006A2F3A"/>
    <w:rsid w:val="006A39E2"/>
    <w:rsid w:val="006A4055"/>
    <w:rsid w:val="006A4ADF"/>
    <w:rsid w:val="006A63BD"/>
    <w:rsid w:val="006A6CFA"/>
    <w:rsid w:val="006A7A82"/>
    <w:rsid w:val="006B0554"/>
    <w:rsid w:val="006B071D"/>
    <w:rsid w:val="006B07AE"/>
    <w:rsid w:val="006B1BCC"/>
    <w:rsid w:val="006B1D7C"/>
    <w:rsid w:val="006B2143"/>
    <w:rsid w:val="006B2D30"/>
    <w:rsid w:val="006B3604"/>
    <w:rsid w:val="006B461E"/>
    <w:rsid w:val="006B48CC"/>
    <w:rsid w:val="006B54FF"/>
    <w:rsid w:val="006B563D"/>
    <w:rsid w:val="006B6547"/>
    <w:rsid w:val="006B6CA8"/>
    <w:rsid w:val="006B6E5A"/>
    <w:rsid w:val="006B6FD0"/>
    <w:rsid w:val="006B7232"/>
    <w:rsid w:val="006B757F"/>
    <w:rsid w:val="006B78EC"/>
    <w:rsid w:val="006C0D92"/>
    <w:rsid w:val="006C1089"/>
    <w:rsid w:val="006C2038"/>
    <w:rsid w:val="006C28F0"/>
    <w:rsid w:val="006C29AF"/>
    <w:rsid w:val="006C338F"/>
    <w:rsid w:val="006C3BB0"/>
    <w:rsid w:val="006C401E"/>
    <w:rsid w:val="006C4C81"/>
    <w:rsid w:val="006C4D19"/>
    <w:rsid w:val="006C5DC4"/>
    <w:rsid w:val="006C6616"/>
    <w:rsid w:val="006D0AB4"/>
    <w:rsid w:val="006D254C"/>
    <w:rsid w:val="006D3975"/>
    <w:rsid w:val="006D3BB1"/>
    <w:rsid w:val="006D3F57"/>
    <w:rsid w:val="006D4D16"/>
    <w:rsid w:val="006D67D5"/>
    <w:rsid w:val="006D6D8D"/>
    <w:rsid w:val="006D6E5A"/>
    <w:rsid w:val="006D7EC0"/>
    <w:rsid w:val="006E0304"/>
    <w:rsid w:val="006E0C4F"/>
    <w:rsid w:val="006E0CDB"/>
    <w:rsid w:val="006E1161"/>
    <w:rsid w:val="006E1553"/>
    <w:rsid w:val="006E2DDF"/>
    <w:rsid w:val="006E31F7"/>
    <w:rsid w:val="006E3EE2"/>
    <w:rsid w:val="006E4C25"/>
    <w:rsid w:val="006E56B4"/>
    <w:rsid w:val="006E5B81"/>
    <w:rsid w:val="006E5F27"/>
    <w:rsid w:val="006E60C8"/>
    <w:rsid w:val="006E6232"/>
    <w:rsid w:val="006E65D5"/>
    <w:rsid w:val="006E6797"/>
    <w:rsid w:val="006E70C8"/>
    <w:rsid w:val="006E75AA"/>
    <w:rsid w:val="006E7E2A"/>
    <w:rsid w:val="006F005C"/>
    <w:rsid w:val="006F14D4"/>
    <w:rsid w:val="006F2587"/>
    <w:rsid w:val="006F2C0B"/>
    <w:rsid w:val="006F34CB"/>
    <w:rsid w:val="006F46F2"/>
    <w:rsid w:val="006F5374"/>
    <w:rsid w:val="006F58C8"/>
    <w:rsid w:val="006F5B47"/>
    <w:rsid w:val="006F621A"/>
    <w:rsid w:val="006F64A1"/>
    <w:rsid w:val="006F6980"/>
    <w:rsid w:val="006F71BB"/>
    <w:rsid w:val="006F72A5"/>
    <w:rsid w:val="006F7671"/>
    <w:rsid w:val="006F7ADE"/>
    <w:rsid w:val="006F7C9A"/>
    <w:rsid w:val="0070031D"/>
    <w:rsid w:val="00700AA6"/>
    <w:rsid w:val="00700D4E"/>
    <w:rsid w:val="00701289"/>
    <w:rsid w:val="00701E86"/>
    <w:rsid w:val="007036D4"/>
    <w:rsid w:val="00703E0D"/>
    <w:rsid w:val="00706027"/>
    <w:rsid w:val="0070638E"/>
    <w:rsid w:val="0070786F"/>
    <w:rsid w:val="00707C30"/>
    <w:rsid w:val="00710DBD"/>
    <w:rsid w:val="007129CA"/>
    <w:rsid w:val="00712D9B"/>
    <w:rsid w:val="00712F92"/>
    <w:rsid w:val="007131BC"/>
    <w:rsid w:val="0071328C"/>
    <w:rsid w:val="0071329F"/>
    <w:rsid w:val="00713C44"/>
    <w:rsid w:val="00713D8D"/>
    <w:rsid w:val="00713ECC"/>
    <w:rsid w:val="0071542C"/>
    <w:rsid w:val="0071590A"/>
    <w:rsid w:val="007170EF"/>
    <w:rsid w:val="00717215"/>
    <w:rsid w:val="00717612"/>
    <w:rsid w:val="00721F93"/>
    <w:rsid w:val="0072425C"/>
    <w:rsid w:val="0072514C"/>
    <w:rsid w:val="007261FD"/>
    <w:rsid w:val="007263F6"/>
    <w:rsid w:val="00726E2D"/>
    <w:rsid w:val="00726E9F"/>
    <w:rsid w:val="00730367"/>
    <w:rsid w:val="00730469"/>
    <w:rsid w:val="00730796"/>
    <w:rsid w:val="00730890"/>
    <w:rsid w:val="00731214"/>
    <w:rsid w:val="00731C4B"/>
    <w:rsid w:val="00732965"/>
    <w:rsid w:val="00732B0B"/>
    <w:rsid w:val="00733A5C"/>
    <w:rsid w:val="007349F1"/>
    <w:rsid w:val="00735794"/>
    <w:rsid w:val="00736755"/>
    <w:rsid w:val="007367C5"/>
    <w:rsid w:val="00736980"/>
    <w:rsid w:val="00737872"/>
    <w:rsid w:val="00740499"/>
    <w:rsid w:val="00740706"/>
    <w:rsid w:val="00741691"/>
    <w:rsid w:val="00741907"/>
    <w:rsid w:val="00741D9A"/>
    <w:rsid w:val="0074244B"/>
    <w:rsid w:val="00745674"/>
    <w:rsid w:val="00745843"/>
    <w:rsid w:val="00745C38"/>
    <w:rsid w:val="00745C8E"/>
    <w:rsid w:val="00745DAF"/>
    <w:rsid w:val="00745EB3"/>
    <w:rsid w:val="007460B6"/>
    <w:rsid w:val="007461EC"/>
    <w:rsid w:val="007465AA"/>
    <w:rsid w:val="00746FF7"/>
    <w:rsid w:val="00750F87"/>
    <w:rsid w:val="007517B4"/>
    <w:rsid w:val="0075286D"/>
    <w:rsid w:val="00753789"/>
    <w:rsid w:val="0075469E"/>
    <w:rsid w:val="00754A85"/>
    <w:rsid w:val="00755CE4"/>
    <w:rsid w:val="00756C02"/>
    <w:rsid w:val="00757AE2"/>
    <w:rsid w:val="00757D64"/>
    <w:rsid w:val="007602D2"/>
    <w:rsid w:val="00760818"/>
    <w:rsid w:val="0076135C"/>
    <w:rsid w:val="007619EB"/>
    <w:rsid w:val="007622F4"/>
    <w:rsid w:val="00762760"/>
    <w:rsid w:val="0076390B"/>
    <w:rsid w:val="00764047"/>
    <w:rsid w:val="00764530"/>
    <w:rsid w:val="00764906"/>
    <w:rsid w:val="00764993"/>
    <w:rsid w:val="00765147"/>
    <w:rsid w:val="007656FA"/>
    <w:rsid w:val="007657C1"/>
    <w:rsid w:val="00766C5C"/>
    <w:rsid w:val="00766DA1"/>
    <w:rsid w:val="00767966"/>
    <w:rsid w:val="00770D2E"/>
    <w:rsid w:val="00771B21"/>
    <w:rsid w:val="007727CE"/>
    <w:rsid w:val="007728FC"/>
    <w:rsid w:val="00772C03"/>
    <w:rsid w:val="00772DF9"/>
    <w:rsid w:val="00773BA5"/>
    <w:rsid w:val="0077504B"/>
    <w:rsid w:val="00775E4E"/>
    <w:rsid w:val="0077604A"/>
    <w:rsid w:val="007760A0"/>
    <w:rsid w:val="0077619E"/>
    <w:rsid w:val="007775D7"/>
    <w:rsid w:val="007806B1"/>
    <w:rsid w:val="00780DB5"/>
    <w:rsid w:val="007814B7"/>
    <w:rsid w:val="00782464"/>
    <w:rsid w:val="00783B9B"/>
    <w:rsid w:val="007850D2"/>
    <w:rsid w:val="007851C0"/>
    <w:rsid w:val="00786539"/>
    <w:rsid w:val="0078688C"/>
    <w:rsid w:val="00786A85"/>
    <w:rsid w:val="00787482"/>
    <w:rsid w:val="00787AEB"/>
    <w:rsid w:val="007918A2"/>
    <w:rsid w:val="007928C2"/>
    <w:rsid w:val="007948B6"/>
    <w:rsid w:val="00794E27"/>
    <w:rsid w:val="00794E47"/>
    <w:rsid w:val="00795421"/>
    <w:rsid w:val="00796334"/>
    <w:rsid w:val="00796AB1"/>
    <w:rsid w:val="007972F7"/>
    <w:rsid w:val="00797479"/>
    <w:rsid w:val="00797974"/>
    <w:rsid w:val="007A094A"/>
    <w:rsid w:val="007A0EEC"/>
    <w:rsid w:val="007A27F8"/>
    <w:rsid w:val="007A3010"/>
    <w:rsid w:val="007A3F09"/>
    <w:rsid w:val="007A410B"/>
    <w:rsid w:val="007A4165"/>
    <w:rsid w:val="007A653F"/>
    <w:rsid w:val="007A6ECC"/>
    <w:rsid w:val="007A6F6D"/>
    <w:rsid w:val="007A742E"/>
    <w:rsid w:val="007A7BED"/>
    <w:rsid w:val="007B018B"/>
    <w:rsid w:val="007B1B83"/>
    <w:rsid w:val="007B1CB6"/>
    <w:rsid w:val="007B208A"/>
    <w:rsid w:val="007B31E3"/>
    <w:rsid w:val="007B3901"/>
    <w:rsid w:val="007B4AEC"/>
    <w:rsid w:val="007B4F1A"/>
    <w:rsid w:val="007B5C85"/>
    <w:rsid w:val="007B72B3"/>
    <w:rsid w:val="007C0287"/>
    <w:rsid w:val="007C237B"/>
    <w:rsid w:val="007C2A0A"/>
    <w:rsid w:val="007C51E7"/>
    <w:rsid w:val="007C56FA"/>
    <w:rsid w:val="007C5B02"/>
    <w:rsid w:val="007C5F53"/>
    <w:rsid w:val="007C69D8"/>
    <w:rsid w:val="007C735F"/>
    <w:rsid w:val="007C7757"/>
    <w:rsid w:val="007D0029"/>
    <w:rsid w:val="007D0C41"/>
    <w:rsid w:val="007D1068"/>
    <w:rsid w:val="007D17C1"/>
    <w:rsid w:val="007D21A1"/>
    <w:rsid w:val="007D307A"/>
    <w:rsid w:val="007D335B"/>
    <w:rsid w:val="007D409A"/>
    <w:rsid w:val="007D4152"/>
    <w:rsid w:val="007D6B11"/>
    <w:rsid w:val="007D6F1C"/>
    <w:rsid w:val="007D7F40"/>
    <w:rsid w:val="007E0641"/>
    <w:rsid w:val="007E100A"/>
    <w:rsid w:val="007E468C"/>
    <w:rsid w:val="007E46CF"/>
    <w:rsid w:val="007E510E"/>
    <w:rsid w:val="007E5731"/>
    <w:rsid w:val="007E6CB4"/>
    <w:rsid w:val="007E6D01"/>
    <w:rsid w:val="007F0450"/>
    <w:rsid w:val="007F22E9"/>
    <w:rsid w:val="007F24E6"/>
    <w:rsid w:val="007F30A8"/>
    <w:rsid w:val="007F37A7"/>
    <w:rsid w:val="007F37E5"/>
    <w:rsid w:val="007F38B4"/>
    <w:rsid w:val="007F3953"/>
    <w:rsid w:val="007F5236"/>
    <w:rsid w:val="007F5700"/>
    <w:rsid w:val="007F7DBF"/>
    <w:rsid w:val="008006DF"/>
    <w:rsid w:val="008008B4"/>
    <w:rsid w:val="00800DAC"/>
    <w:rsid w:val="00801BD1"/>
    <w:rsid w:val="008022BA"/>
    <w:rsid w:val="0080269B"/>
    <w:rsid w:val="0080311B"/>
    <w:rsid w:val="00803478"/>
    <w:rsid w:val="00803535"/>
    <w:rsid w:val="008043EB"/>
    <w:rsid w:val="00804D00"/>
    <w:rsid w:val="00804FD2"/>
    <w:rsid w:val="0080514B"/>
    <w:rsid w:val="00806A3E"/>
    <w:rsid w:val="00810640"/>
    <w:rsid w:val="00810975"/>
    <w:rsid w:val="00810F8D"/>
    <w:rsid w:val="00811233"/>
    <w:rsid w:val="00811919"/>
    <w:rsid w:val="008119E7"/>
    <w:rsid w:val="00812FCF"/>
    <w:rsid w:val="00813694"/>
    <w:rsid w:val="0081455B"/>
    <w:rsid w:val="0081457B"/>
    <w:rsid w:val="0081471E"/>
    <w:rsid w:val="00814CA5"/>
    <w:rsid w:val="008161B5"/>
    <w:rsid w:val="008163B1"/>
    <w:rsid w:val="0081682E"/>
    <w:rsid w:val="00816F92"/>
    <w:rsid w:val="00817605"/>
    <w:rsid w:val="00817989"/>
    <w:rsid w:val="00817AA7"/>
    <w:rsid w:val="0082206D"/>
    <w:rsid w:val="00822581"/>
    <w:rsid w:val="008226F0"/>
    <w:rsid w:val="00822948"/>
    <w:rsid w:val="00824957"/>
    <w:rsid w:val="00824AB6"/>
    <w:rsid w:val="00824E4D"/>
    <w:rsid w:val="00824F1B"/>
    <w:rsid w:val="008265D7"/>
    <w:rsid w:val="00826892"/>
    <w:rsid w:val="00827ED1"/>
    <w:rsid w:val="0083007F"/>
    <w:rsid w:val="00830518"/>
    <w:rsid w:val="00830FDA"/>
    <w:rsid w:val="0083158C"/>
    <w:rsid w:val="00831B5D"/>
    <w:rsid w:val="00833621"/>
    <w:rsid w:val="00833863"/>
    <w:rsid w:val="00834318"/>
    <w:rsid w:val="00834ED4"/>
    <w:rsid w:val="00836560"/>
    <w:rsid w:val="00837BC7"/>
    <w:rsid w:val="00837BEF"/>
    <w:rsid w:val="00837F4C"/>
    <w:rsid w:val="00842D39"/>
    <w:rsid w:val="00843D17"/>
    <w:rsid w:val="008448E7"/>
    <w:rsid w:val="00845083"/>
    <w:rsid w:val="008451D2"/>
    <w:rsid w:val="00845405"/>
    <w:rsid w:val="00845AAC"/>
    <w:rsid w:val="00845E7E"/>
    <w:rsid w:val="008467DF"/>
    <w:rsid w:val="00850882"/>
    <w:rsid w:val="00850B61"/>
    <w:rsid w:val="00850F22"/>
    <w:rsid w:val="00851205"/>
    <w:rsid w:val="008514C9"/>
    <w:rsid w:val="00852BF9"/>
    <w:rsid w:val="008539B7"/>
    <w:rsid w:val="0085428A"/>
    <w:rsid w:val="00856498"/>
    <w:rsid w:val="00857380"/>
    <w:rsid w:val="008577DA"/>
    <w:rsid w:val="00857E50"/>
    <w:rsid w:val="00860609"/>
    <w:rsid w:val="00860A95"/>
    <w:rsid w:val="00860C91"/>
    <w:rsid w:val="00864345"/>
    <w:rsid w:val="00864802"/>
    <w:rsid w:val="00865486"/>
    <w:rsid w:val="00866268"/>
    <w:rsid w:val="008664E8"/>
    <w:rsid w:val="00867176"/>
    <w:rsid w:val="00867937"/>
    <w:rsid w:val="0087001C"/>
    <w:rsid w:val="00870030"/>
    <w:rsid w:val="00870136"/>
    <w:rsid w:val="008708B0"/>
    <w:rsid w:val="00870B94"/>
    <w:rsid w:val="00870CFD"/>
    <w:rsid w:val="00870E85"/>
    <w:rsid w:val="00871A22"/>
    <w:rsid w:val="00872342"/>
    <w:rsid w:val="008729DA"/>
    <w:rsid w:val="00872ABB"/>
    <w:rsid w:val="00873074"/>
    <w:rsid w:val="008734CD"/>
    <w:rsid w:val="008734E4"/>
    <w:rsid w:val="00873660"/>
    <w:rsid w:val="008737F5"/>
    <w:rsid w:val="008743CF"/>
    <w:rsid w:val="00874859"/>
    <w:rsid w:val="0087600B"/>
    <w:rsid w:val="00876544"/>
    <w:rsid w:val="00876711"/>
    <w:rsid w:val="00876712"/>
    <w:rsid w:val="00876802"/>
    <w:rsid w:val="0087779C"/>
    <w:rsid w:val="00880A52"/>
    <w:rsid w:val="00882074"/>
    <w:rsid w:val="008827A4"/>
    <w:rsid w:val="008835A6"/>
    <w:rsid w:val="00883AA4"/>
    <w:rsid w:val="008842BF"/>
    <w:rsid w:val="00884CEA"/>
    <w:rsid w:val="00885A26"/>
    <w:rsid w:val="0088662A"/>
    <w:rsid w:val="00886F83"/>
    <w:rsid w:val="0088759D"/>
    <w:rsid w:val="008904A4"/>
    <w:rsid w:val="00890989"/>
    <w:rsid w:val="00890CA4"/>
    <w:rsid w:val="00890EDF"/>
    <w:rsid w:val="00891B5E"/>
    <w:rsid w:val="00892204"/>
    <w:rsid w:val="0089293F"/>
    <w:rsid w:val="00892C26"/>
    <w:rsid w:val="00892C3A"/>
    <w:rsid w:val="0089347D"/>
    <w:rsid w:val="008944E1"/>
    <w:rsid w:val="0089562D"/>
    <w:rsid w:val="008973F3"/>
    <w:rsid w:val="008A0D3D"/>
    <w:rsid w:val="008A2D0A"/>
    <w:rsid w:val="008A3725"/>
    <w:rsid w:val="008A3947"/>
    <w:rsid w:val="008A52EF"/>
    <w:rsid w:val="008A60F4"/>
    <w:rsid w:val="008B0EE9"/>
    <w:rsid w:val="008B1265"/>
    <w:rsid w:val="008B2DFE"/>
    <w:rsid w:val="008B3EA8"/>
    <w:rsid w:val="008B3EB0"/>
    <w:rsid w:val="008B452B"/>
    <w:rsid w:val="008B4551"/>
    <w:rsid w:val="008B4EA2"/>
    <w:rsid w:val="008B6CBE"/>
    <w:rsid w:val="008C1231"/>
    <w:rsid w:val="008C2722"/>
    <w:rsid w:val="008C5774"/>
    <w:rsid w:val="008C5D04"/>
    <w:rsid w:val="008C6BD9"/>
    <w:rsid w:val="008C7E06"/>
    <w:rsid w:val="008C7F2C"/>
    <w:rsid w:val="008D0BBE"/>
    <w:rsid w:val="008D1211"/>
    <w:rsid w:val="008D1935"/>
    <w:rsid w:val="008D22E0"/>
    <w:rsid w:val="008D25C0"/>
    <w:rsid w:val="008D313C"/>
    <w:rsid w:val="008D3781"/>
    <w:rsid w:val="008D3CE0"/>
    <w:rsid w:val="008D4850"/>
    <w:rsid w:val="008D4A18"/>
    <w:rsid w:val="008D5D97"/>
    <w:rsid w:val="008D657D"/>
    <w:rsid w:val="008D6798"/>
    <w:rsid w:val="008D7570"/>
    <w:rsid w:val="008E26CA"/>
    <w:rsid w:val="008E2FBC"/>
    <w:rsid w:val="008E3367"/>
    <w:rsid w:val="008E36C0"/>
    <w:rsid w:val="008E39F0"/>
    <w:rsid w:val="008E440D"/>
    <w:rsid w:val="008E4BC2"/>
    <w:rsid w:val="008E5A27"/>
    <w:rsid w:val="008E5D33"/>
    <w:rsid w:val="008E69C5"/>
    <w:rsid w:val="008E770E"/>
    <w:rsid w:val="008F0C53"/>
    <w:rsid w:val="008F0DEC"/>
    <w:rsid w:val="008F1112"/>
    <w:rsid w:val="008F1CF8"/>
    <w:rsid w:val="008F23DD"/>
    <w:rsid w:val="008F23EC"/>
    <w:rsid w:val="008F2D9A"/>
    <w:rsid w:val="008F39FC"/>
    <w:rsid w:val="008F470E"/>
    <w:rsid w:val="008F50CD"/>
    <w:rsid w:val="008F69AF"/>
    <w:rsid w:val="00901543"/>
    <w:rsid w:val="009018C1"/>
    <w:rsid w:val="00902DB5"/>
    <w:rsid w:val="00903A90"/>
    <w:rsid w:val="0090408D"/>
    <w:rsid w:val="00904B05"/>
    <w:rsid w:val="00904FE6"/>
    <w:rsid w:val="00905A84"/>
    <w:rsid w:val="00907004"/>
    <w:rsid w:val="00910074"/>
    <w:rsid w:val="009103B2"/>
    <w:rsid w:val="00910E45"/>
    <w:rsid w:val="00910F39"/>
    <w:rsid w:val="00911CBB"/>
    <w:rsid w:val="00912269"/>
    <w:rsid w:val="00913105"/>
    <w:rsid w:val="00913686"/>
    <w:rsid w:val="00913DD1"/>
    <w:rsid w:val="009146F7"/>
    <w:rsid w:val="00914B5C"/>
    <w:rsid w:val="00916D5F"/>
    <w:rsid w:val="00916F59"/>
    <w:rsid w:val="00917FAC"/>
    <w:rsid w:val="009219BE"/>
    <w:rsid w:val="00921D5E"/>
    <w:rsid w:val="0092219C"/>
    <w:rsid w:val="00923129"/>
    <w:rsid w:val="00923654"/>
    <w:rsid w:val="00924428"/>
    <w:rsid w:val="00924CF9"/>
    <w:rsid w:val="009261B1"/>
    <w:rsid w:val="00926F15"/>
    <w:rsid w:val="00926F66"/>
    <w:rsid w:val="00927C26"/>
    <w:rsid w:val="00927C51"/>
    <w:rsid w:val="00930538"/>
    <w:rsid w:val="00930607"/>
    <w:rsid w:val="00931E53"/>
    <w:rsid w:val="00933BF6"/>
    <w:rsid w:val="00933D9F"/>
    <w:rsid w:val="00933EB1"/>
    <w:rsid w:val="00933EB6"/>
    <w:rsid w:val="0093407A"/>
    <w:rsid w:val="0093554E"/>
    <w:rsid w:val="0093611A"/>
    <w:rsid w:val="00936B63"/>
    <w:rsid w:val="00940694"/>
    <w:rsid w:val="00941593"/>
    <w:rsid w:val="00943585"/>
    <w:rsid w:val="009441EB"/>
    <w:rsid w:val="00944907"/>
    <w:rsid w:val="00945DD8"/>
    <w:rsid w:val="009460AF"/>
    <w:rsid w:val="00946359"/>
    <w:rsid w:val="00946369"/>
    <w:rsid w:val="009463D1"/>
    <w:rsid w:val="00946DDF"/>
    <w:rsid w:val="00947000"/>
    <w:rsid w:val="0094775A"/>
    <w:rsid w:val="009479E1"/>
    <w:rsid w:val="00950A0E"/>
    <w:rsid w:val="009513EE"/>
    <w:rsid w:val="00951FCF"/>
    <w:rsid w:val="009523A3"/>
    <w:rsid w:val="0095293D"/>
    <w:rsid w:val="00953E2E"/>
    <w:rsid w:val="00954836"/>
    <w:rsid w:val="00954F99"/>
    <w:rsid w:val="00955173"/>
    <w:rsid w:val="00955263"/>
    <w:rsid w:val="00955462"/>
    <w:rsid w:val="009561C2"/>
    <w:rsid w:val="00956CA0"/>
    <w:rsid w:val="009572F1"/>
    <w:rsid w:val="0095779B"/>
    <w:rsid w:val="00960975"/>
    <w:rsid w:val="00961019"/>
    <w:rsid w:val="00961908"/>
    <w:rsid w:val="00962008"/>
    <w:rsid w:val="00962128"/>
    <w:rsid w:val="00963655"/>
    <w:rsid w:val="00963B4A"/>
    <w:rsid w:val="0096471B"/>
    <w:rsid w:val="00965075"/>
    <w:rsid w:val="0096647D"/>
    <w:rsid w:val="009666CB"/>
    <w:rsid w:val="00967614"/>
    <w:rsid w:val="0097029E"/>
    <w:rsid w:val="009707E2"/>
    <w:rsid w:val="009709BB"/>
    <w:rsid w:val="0097174C"/>
    <w:rsid w:val="009748E2"/>
    <w:rsid w:val="00977269"/>
    <w:rsid w:val="00977F60"/>
    <w:rsid w:val="00980766"/>
    <w:rsid w:val="00980BEB"/>
    <w:rsid w:val="0098275B"/>
    <w:rsid w:val="00982F27"/>
    <w:rsid w:val="009832B8"/>
    <w:rsid w:val="009836ED"/>
    <w:rsid w:val="00984562"/>
    <w:rsid w:val="00984636"/>
    <w:rsid w:val="00984850"/>
    <w:rsid w:val="00985194"/>
    <w:rsid w:val="00985E9A"/>
    <w:rsid w:val="009866EC"/>
    <w:rsid w:val="00986C61"/>
    <w:rsid w:val="00987FCD"/>
    <w:rsid w:val="009918CF"/>
    <w:rsid w:val="00992F8F"/>
    <w:rsid w:val="00995754"/>
    <w:rsid w:val="00995E59"/>
    <w:rsid w:val="0099655C"/>
    <w:rsid w:val="00996E73"/>
    <w:rsid w:val="0099722B"/>
    <w:rsid w:val="00997EE5"/>
    <w:rsid w:val="009A1035"/>
    <w:rsid w:val="009A187A"/>
    <w:rsid w:val="009A18E4"/>
    <w:rsid w:val="009A1955"/>
    <w:rsid w:val="009A202C"/>
    <w:rsid w:val="009A3652"/>
    <w:rsid w:val="009A3806"/>
    <w:rsid w:val="009A3891"/>
    <w:rsid w:val="009A41D0"/>
    <w:rsid w:val="009A4804"/>
    <w:rsid w:val="009A4A1B"/>
    <w:rsid w:val="009A4CBA"/>
    <w:rsid w:val="009A4CF4"/>
    <w:rsid w:val="009A5324"/>
    <w:rsid w:val="009A53C9"/>
    <w:rsid w:val="009A5962"/>
    <w:rsid w:val="009A66CA"/>
    <w:rsid w:val="009A7459"/>
    <w:rsid w:val="009A78D5"/>
    <w:rsid w:val="009B0638"/>
    <w:rsid w:val="009B1058"/>
    <w:rsid w:val="009B498C"/>
    <w:rsid w:val="009B52A8"/>
    <w:rsid w:val="009B5C52"/>
    <w:rsid w:val="009B76F2"/>
    <w:rsid w:val="009C0DA2"/>
    <w:rsid w:val="009C16D0"/>
    <w:rsid w:val="009C1812"/>
    <w:rsid w:val="009C2A5B"/>
    <w:rsid w:val="009C2C78"/>
    <w:rsid w:val="009C3536"/>
    <w:rsid w:val="009C3CFF"/>
    <w:rsid w:val="009C4897"/>
    <w:rsid w:val="009C50BB"/>
    <w:rsid w:val="009C50FE"/>
    <w:rsid w:val="009C52F1"/>
    <w:rsid w:val="009C5AEA"/>
    <w:rsid w:val="009C69CB"/>
    <w:rsid w:val="009C7130"/>
    <w:rsid w:val="009D1003"/>
    <w:rsid w:val="009D1594"/>
    <w:rsid w:val="009D245E"/>
    <w:rsid w:val="009D27A5"/>
    <w:rsid w:val="009D2F35"/>
    <w:rsid w:val="009D3D2D"/>
    <w:rsid w:val="009D5372"/>
    <w:rsid w:val="009D6396"/>
    <w:rsid w:val="009D6DFE"/>
    <w:rsid w:val="009D6EF1"/>
    <w:rsid w:val="009D7D40"/>
    <w:rsid w:val="009E081C"/>
    <w:rsid w:val="009E3DA4"/>
    <w:rsid w:val="009E3E3B"/>
    <w:rsid w:val="009E541F"/>
    <w:rsid w:val="009E5A6C"/>
    <w:rsid w:val="009E6CC4"/>
    <w:rsid w:val="009E7438"/>
    <w:rsid w:val="009E7A9F"/>
    <w:rsid w:val="009F08B7"/>
    <w:rsid w:val="009F13F5"/>
    <w:rsid w:val="009F1717"/>
    <w:rsid w:val="009F17A4"/>
    <w:rsid w:val="009F20C6"/>
    <w:rsid w:val="009F2594"/>
    <w:rsid w:val="009F29CD"/>
    <w:rsid w:val="009F2EB9"/>
    <w:rsid w:val="009F4517"/>
    <w:rsid w:val="009F4666"/>
    <w:rsid w:val="009F47E3"/>
    <w:rsid w:val="009F58CE"/>
    <w:rsid w:val="009F6623"/>
    <w:rsid w:val="009F6792"/>
    <w:rsid w:val="009F7390"/>
    <w:rsid w:val="009F73F0"/>
    <w:rsid w:val="00A00660"/>
    <w:rsid w:val="00A00B1B"/>
    <w:rsid w:val="00A00D4A"/>
    <w:rsid w:val="00A00EE7"/>
    <w:rsid w:val="00A02092"/>
    <w:rsid w:val="00A02B52"/>
    <w:rsid w:val="00A039FE"/>
    <w:rsid w:val="00A04DA6"/>
    <w:rsid w:val="00A05224"/>
    <w:rsid w:val="00A06B4B"/>
    <w:rsid w:val="00A06DF8"/>
    <w:rsid w:val="00A07786"/>
    <w:rsid w:val="00A07AAD"/>
    <w:rsid w:val="00A107C3"/>
    <w:rsid w:val="00A110D6"/>
    <w:rsid w:val="00A1180A"/>
    <w:rsid w:val="00A11D55"/>
    <w:rsid w:val="00A11FE6"/>
    <w:rsid w:val="00A14F79"/>
    <w:rsid w:val="00A152F0"/>
    <w:rsid w:val="00A15516"/>
    <w:rsid w:val="00A15DD2"/>
    <w:rsid w:val="00A17C05"/>
    <w:rsid w:val="00A204A0"/>
    <w:rsid w:val="00A22BFA"/>
    <w:rsid w:val="00A23A0A"/>
    <w:rsid w:val="00A25071"/>
    <w:rsid w:val="00A253A9"/>
    <w:rsid w:val="00A25BFB"/>
    <w:rsid w:val="00A265A0"/>
    <w:rsid w:val="00A26A1B"/>
    <w:rsid w:val="00A27D2E"/>
    <w:rsid w:val="00A3142A"/>
    <w:rsid w:val="00A317AA"/>
    <w:rsid w:val="00A329F4"/>
    <w:rsid w:val="00A32B04"/>
    <w:rsid w:val="00A33AFB"/>
    <w:rsid w:val="00A33F36"/>
    <w:rsid w:val="00A33FB8"/>
    <w:rsid w:val="00A34653"/>
    <w:rsid w:val="00A34E8A"/>
    <w:rsid w:val="00A3677F"/>
    <w:rsid w:val="00A36B77"/>
    <w:rsid w:val="00A36C2A"/>
    <w:rsid w:val="00A36D7E"/>
    <w:rsid w:val="00A379D3"/>
    <w:rsid w:val="00A4095E"/>
    <w:rsid w:val="00A410DF"/>
    <w:rsid w:val="00A417B2"/>
    <w:rsid w:val="00A420AA"/>
    <w:rsid w:val="00A42190"/>
    <w:rsid w:val="00A42C63"/>
    <w:rsid w:val="00A43297"/>
    <w:rsid w:val="00A435A9"/>
    <w:rsid w:val="00A43BDD"/>
    <w:rsid w:val="00A43DC8"/>
    <w:rsid w:val="00A445C7"/>
    <w:rsid w:val="00A44C0B"/>
    <w:rsid w:val="00A44CCC"/>
    <w:rsid w:val="00A452C4"/>
    <w:rsid w:val="00A4728E"/>
    <w:rsid w:val="00A478B9"/>
    <w:rsid w:val="00A47AA6"/>
    <w:rsid w:val="00A47C5A"/>
    <w:rsid w:val="00A47C70"/>
    <w:rsid w:val="00A5037F"/>
    <w:rsid w:val="00A50768"/>
    <w:rsid w:val="00A509FB"/>
    <w:rsid w:val="00A50D25"/>
    <w:rsid w:val="00A5113E"/>
    <w:rsid w:val="00A512C5"/>
    <w:rsid w:val="00A51A88"/>
    <w:rsid w:val="00A53040"/>
    <w:rsid w:val="00A5377F"/>
    <w:rsid w:val="00A541D8"/>
    <w:rsid w:val="00A54494"/>
    <w:rsid w:val="00A548CC"/>
    <w:rsid w:val="00A54ABD"/>
    <w:rsid w:val="00A54AD9"/>
    <w:rsid w:val="00A56611"/>
    <w:rsid w:val="00A56E7A"/>
    <w:rsid w:val="00A57A76"/>
    <w:rsid w:val="00A61174"/>
    <w:rsid w:val="00A61E49"/>
    <w:rsid w:val="00A628CA"/>
    <w:rsid w:val="00A62919"/>
    <w:rsid w:val="00A62EA7"/>
    <w:rsid w:val="00A65322"/>
    <w:rsid w:val="00A65BDE"/>
    <w:rsid w:val="00A66592"/>
    <w:rsid w:val="00A67C78"/>
    <w:rsid w:val="00A72462"/>
    <w:rsid w:val="00A7376A"/>
    <w:rsid w:val="00A74A40"/>
    <w:rsid w:val="00A75D8A"/>
    <w:rsid w:val="00A77727"/>
    <w:rsid w:val="00A77E3C"/>
    <w:rsid w:val="00A80AB4"/>
    <w:rsid w:val="00A81345"/>
    <w:rsid w:val="00A81A19"/>
    <w:rsid w:val="00A835CD"/>
    <w:rsid w:val="00A844D6"/>
    <w:rsid w:val="00A8468F"/>
    <w:rsid w:val="00A84FCC"/>
    <w:rsid w:val="00A852E5"/>
    <w:rsid w:val="00A85ACF"/>
    <w:rsid w:val="00A866CA"/>
    <w:rsid w:val="00A86B21"/>
    <w:rsid w:val="00A90F43"/>
    <w:rsid w:val="00A92061"/>
    <w:rsid w:val="00A921E4"/>
    <w:rsid w:val="00A92410"/>
    <w:rsid w:val="00A92718"/>
    <w:rsid w:val="00A92AB7"/>
    <w:rsid w:val="00A933F6"/>
    <w:rsid w:val="00A93D03"/>
    <w:rsid w:val="00A95ABA"/>
    <w:rsid w:val="00A96530"/>
    <w:rsid w:val="00AA0077"/>
    <w:rsid w:val="00AA05D9"/>
    <w:rsid w:val="00AA10EB"/>
    <w:rsid w:val="00AA1107"/>
    <w:rsid w:val="00AA1142"/>
    <w:rsid w:val="00AA1749"/>
    <w:rsid w:val="00AA1C24"/>
    <w:rsid w:val="00AA1C2A"/>
    <w:rsid w:val="00AA1D82"/>
    <w:rsid w:val="00AA28DA"/>
    <w:rsid w:val="00AA38AA"/>
    <w:rsid w:val="00AA38D3"/>
    <w:rsid w:val="00AA3906"/>
    <w:rsid w:val="00AA4465"/>
    <w:rsid w:val="00AA56CA"/>
    <w:rsid w:val="00AA5C41"/>
    <w:rsid w:val="00AA7825"/>
    <w:rsid w:val="00AA7E3A"/>
    <w:rsid w:val="00AB11D9"/>
    <w:rsid w:val="00AB2084"/>
    <w:rsid w:val="00AB2E7D"/>
    <w:rsid w:val="00AB2F92"/>
    <w:rsid w:val="00AB43AC"/>
    <w:rsid w:val="00AB4696"/>
    <w:rsid w:val="00AB4BD5"/>
    <w:rsid w:val="00AB5414"/>
    <w:rsid w:val="00AB5466"/>
    <w:rsid w:val="00AB55D5"/>
    <w:rsid w:val="00AB6058"/>
    <w:rsid w:val="00AB61E0"/>
    <w:rsid w:val="00AB6F26"/>
    <w:rsid w:val="00AC2CF6"/>
    <w:rsid w:val="00AC2EB1"/>
    <w:rsid w:val="00AC3879"/>
    <w:rsid w:val="00AC417D"/>
    <w:rsid w:val="00AC44E7"/>
    <w:rsid w:val="00AC5FD4"/>
    <w:rsid w:val="00AC6134"/>
    <w:rsid w:val="00AC62FB"/>
    <w:rsid w:val="00AC675D"/>
    <w:rsid w:val="00AC6F72"/>
    <w:rsid w:val="00AD2D00"/>
    <w:rsid w:val="00AD37EC"/>
    <w:rsid w:val="00AD380A"/>
    <w:rsid w:val="00AD3A10"/>
    <w:rsid w:val="00AD3B12"/>
    <w:rsid w:val="00AD3E91"/>
    <w:rsid w:val="00AD5329"/>
    <w:rsid w:val="00AD593A"/>
    <w:rsid w:val="00AD6214"/>
    <w:rsid w:val="00AD64D1"/>
    <w:rsid w:val="00AD79F1"/>
    <w:rsid w:val="00AE1365"/>
    <w:rsid w:val="00AE139C"/>
    <w:rsid w:val="00AE1B09"/>
    <w:rsid w:val="00AE21BC"/>
    <w:rsid w:val="00AE25DA"/>
    <w:rsid w:val="00AE3134"/>
    <w:rsid w:val="00AE57BE"/>
    <w:rsid w:val="00AE5991"/>
    <w:rsid w:val="00AE5D19"/>
    <w:rsid w:val="00AE7408"/>
    <w:rsid w:val="00AE7676"/>
    <w:rsid w:val="00AE78AF"/>
    <w:rsid w:val="00AF06F4"/>
    <w:rsid w:val="00AF0798"/>
    <w:rsid w:val="00AF0D62"/>
    <w:rsid w:val="00AF25DF"/>
    <w:rsid w:val="00AF2768"/>
    <w:rsid w:val="00AF27F9"/>
    <w:rsid w:val="00AF2AE9"/>
    <w:rsid w:val="00AF3146"/>
    <w:rsid w:val="00AF3207"/>
    <w:rsid w:val="00AF3624"/>
    <w:rsid w:val="00AF49B1"/>
    <w:rsid w:val="00AF551C"/>
    <w:rsid w:val="00AF58F2"/>
    <w:rsid w:val="00AF6150"/>
    <w:rsid w:val="00AF6286"/>
    <w:rsid w:val="00AF638B"/>
    <w:rsid w:val="00AF66FF"/>
    <w:rsid w:val="00B00BAF"/>
    <w:rsid w:val="00B0104B"/>
    <w:rsid w:val="00B01568"/>
    <w:rsid w:val="00B01B74"/>
    <w:rsid w:val="00B01D11"/>
    <w:rsid w:val="00B01F3F"/>
    <w:rsid w:val="00B02414"/>
    <w:rsid w:val="00B03797"/>
    <w:rsid w:val="00B03942"/>
    <w:rsid w:val="00B03DF1"/>
    <w:rsid w:val="00B044B2"/>
    <w:rsid w:val="00B04682"/>
    <w:rsid w:val="00B04698"/>
    <w:rsid w:val="00B04B0A"/>
    <w:rsid w:val="00B04E50"/>
    <w:rsid w:val="00B051BD"/>
    <w:rsid w:val="00B05961"/>
    <w:rsid w:val="00B07129"/>
    <w:rsid w:val="00B1048E"/>
    <w:rsid w:val="00B109AE"/>
    <w:rsid w:val="00B11BEE"/>
    <w:rsid w:val="00B11E7F"/>
    <w:rsid w:val="00B13256"/>
    <w:rsid w:val="00B13F8B"/>
    <w:rsid w:val="00B14443"/>
    <w:rsid w:val="00B14522"/>
    <w:rsid w:val="00B15C9A"/>
    <w:rsid w:val="00B16E0D"/>
    <w:rsid w:val="00B17146"/>
    <w:rsid w:val="00B17963"/>
    <w:rsid w:val="00B17C13"/>
    <w:rsid w:val="00B17C70"/>
    <w:rsid w:val="00B17F95"/>
    <w:rsid w:val="00B20458"/>
    <w:rsid w:val="00B20CF4"/>
    <w:rsid w:val="00B2256D"/>
    <w:rsid w:val="00B231F6"/>
    <w:rsid w:val="00B23586"/>
    <w:rsid w:val="00B2390C"/>
    <w:rsid w:val="00B24076"/>
    <w:rsid w:val="00B245A9"/>
    <w:rsid w:val="00B24C1B"/>
    <w:rsid w:val="00B254DB"/>
    <w:rsid w:val="00B2567E"/>
    <w:rsid w:val="00B25FE9"/>
    <w:rsid w:val="00B2605D"/>
    <w:rsid w:val="00B2610E"/>
    <w:rsid w:val="00B27B50"/>
    <w:rsid w:val="00B303CF"/>
    <w:rsid w:val="00B30B15"/>
    <w:rsid w:val="00B30D2F"/>
    <w:rsid w:val="00B32C56"/>
    <w:rsid w:val="00B339F3"/>
    <w:rsid w:val="00B33D48"/>
    <w:rsid w:val="00B34C5B"/>
    <w:rsid w:val="00B352D6"/>
    <w:rsid w:val="00B37082"/>
    <w:rsid w:val="00B3762B"/>
    <w:rsid w:val="00B37793"/>
    <w:rsid w:val="00B37A02"/>
    <w:rsid w:val="00B37D0E"/>
    <w:rsid w:val="00B40AB7"/>
    <w:rsid w:val="00B4164F"/>
    <w:rsid w:val="00B41DA4"/>
    <w:rsid w:val="00B423CD"/>
    <w:rsid w:val="00B43A53"/>
    <w:rsid w:val="00B43B3C"/>
    <w:rsid w:val="00B4471F"/>
    <w:rsid w:val="00B45882"/>
    <w:rsid w:val="00B45B34"/>
    <w:rsid w:val="00B45E23"/>
    <w:rsid w:val="00B46781"/>
    <w:rsid w:val="00B46962"/>
    <w:rsid w:val="00B47E6C"/>
    <w:rsid w:val="00B47FF6"/>
    <w:rsid w:val="00B5049F"/>
    <w:rsid w:val="00B52992"/>
    <w:rsid w:val="00B52B5C"/>
    <w:rsid w:val="00B52B80"/>
    <w:rsid w:val="00B5327A"/>
    <w:rsid w:val="00B54522"/>
    <w:rsid w:val="00B5520B"/>
    <w:rsid w:val="00B56BBF"/>
    <w:rsid w:val="00B56DA7"/>
    <w:rsid w:val="00B571D1"/>
    <w:rsid w:val="00B61C65"/>
    <w:rsid w:val="00B6274C"/>
    <w:rsid w:val="00B6526F"/>
    <w:rsid w:val="00B66A64"/>
    <w:rsid w:val="00B70672"/>
    <w:rsid w:val="00B70DFC"/>
    <w:rsid w:val="00B73284"/>
    <w:rsid w:val="00B74225"/>
    <w:rsid w:val="00B75625"/>
    <w:rsid w:val="00B75BC8"/>
    <w:rsid w:val="00B77D18"/>
    <w:rsid w:val="00B80996"/>
    <w:rsid w:val="00B8103F"/>
    <w:rsid w:val="00B8142A"/>
    <w:rsid w:val="00B83661"/>
    <w:rsid w:val="00B83EB4"/>
    <w:rsid w:val="00B845E1"/>
    <w:rsid w:val="00B84A74"/>
    <w:rsid w:val="00B854C2"/>
    <w:rsid w:val="00B869A8"/>
    <w:rsid w:val="00B86FFF"/>
    <w:rsid w:val="00B91187"/>
    <w:rsid w:val="00B91C30"/>
    <w:rsid w:val="00B93CBC"/>
    <w:rsid w:val="00B950D7"/>
    <w:rsid w:val="00B955A6"/>
    <w:rsid w:val="00B97C49"/>
    <w:rsid w:val="00BA0C83"/>
    <w:rsid w:val="00BA1BA3"/>
    <w:rsid w:val="00BA2A6D"/>
    <w:rsid w:val="00BA2B6D"/>
    <w:rsid w:val="00BA2FA1"/>
    <w:rsid w:val="00BA333B"/>
    <w:rsid w:val="00BA3508"/>
    <w:rsid w:val="00BA4607"/>
    <w:rsid w:val="00BA4877"/>
    <w:rsid w:val="00BA4D7C"/>
    <w:rsid w:val="00BA56E9"/>
    <w:rsid w:val="00BA6762"/>
    <w:rsid w:val="00BA69BD"/>
    <w:rsid w:val="00BA7D00"/>
    <w:rsid w:val="00BA7DFB"/>
    <w:rsid w:val="00BA7F0E"/>
    <w:rsid w:val="00BB067F"/>
    <w:rsid w:val="00BB0B5E"/>
    <w:rsid w:val="00BB0F33"/>
    <w:rsid w:val="00BB0FD2"/>
    <w:rsid w:val="00BB40D0"/>
    <w:rsid w:val="00BB4AE8"/>
    <w:rsid w:val="00BB4D93"/>
    <w:rsid w:val="00BB5384"/>
    <w:rsid w:val="00BB57A6"/>
    <w:rsid w:val="00BB6626"/>
    <w:rsid w:val="00BB6FEA"/>
    <w:rsid w:val="00BC0982"/>
    <w:rsid w:val="00BC0AF2"/>
    <w:rsid w:val="00BC1344"/>
    <w:rsid w:val="00BC24DD"/>
    <w:rsid w:val="00BC2E27"/>
    <w:rsid w:val="00BC49E3"/>
    <w:rsid w:val="00BC5B83"/>
    <w:rsid w:val="00BC5E5A"/>
    <w:rsid w:val="00BC612C"/>
    <w:rsid w:val="00BC6319"/>
    <w:rsid w:val="00BC780B"/>
    <w:rsid w:val="00BD08E4"/>
    <w:rsid w:val="00BD0928"/>
    <w:rsid w:val="00BD156D"/>
    <w:rsid w:val="00BD1708"/>
    <w:rsid w:val="00BD1C7F"/>
    <w:rsid w:val="00BD29DD"/>
    <w:rsid w:val="00BD2AF5"/>
    <w:rsid w:val="00BD2ED7"/>
    <w:rsid w:val="00BD3CB7"/>
    <w:rsid w:val="00BD5C70"/>
    <w:rsid w:val="00BD5CB6"/>
    <w:rsid w:val="00BD75D7"/>
    <w:rsid w:val="00BE0239"/>
    <w:rsid w:val="00BE031F"/>
    <w:rsid w:val="00BE0B98"/>
    <w:rsid w:val="00BE0C0C"/>
    <w:rsid w:val="00BE0E1B"/>
    <w:rsid w:val="00BE11B3"/>
    <w:rsid w:val="00BE27A1"/>
    <w:rsid w:val="00BE4EE1"/>
    <w:rsid w:val="00BE5816"/>
    <w:rsid w:val="00BE5BB2"/>
    <w:rsid w:val="00BE600E"/>
    <w:rsid w:val="00BE635E"/>
    <w:rsid w:val="00BE6739"/>
    <w:rsid w:val="00BE780A"/>
    <w:rsid w:val="00BE7AAF"/>
    <w:rsid w:val="00BF02DE"/>
    <w:rsid w:val="00BF0BF1"/>
    <w:rsid w:val="00BF1155"/>
    <w:rsid w:val="00BF17F5"/>
    <w:rsid w:val="00BF1E36"/>
    <w:rsid w:val="00BF2D15"/>
    <w:rsid w:val="00BF3231"/>
    <w:rsid w:val="00BF3E28"/>
    <w:rsid w:val="00BF4168"/>
    <w:rsid w:val="00BF42E7"/>
    <w:rsid w:val="00BF5821"/>
    <w:rsid w:val="00BF6057"/>
    <w:rsid w:val="00BF6210"/>
    <w:rsid w:val="00BF6678"/>
    <w:rsid w:val="00BF719B"/>
    <w:rsid w:val="00BF77A8"/>
    <w:rsid w:val="00BF7DC4"/>
    <w:rsid w:val="00C0015B"/>
    <w:rsid w:val="00C008FE"/>
    <w:rsid w:val="00C00D59"/>
    <w:rsid w:val="00C01231"/>
    <w:rsid w:val="00C02517"/>
    <w:rsid w:val="00C0296A"/>
    <w:rsid w:val="00C03A62"/>
    <w:rsid w:val="00C05640"/>
    <w:rsid w:val="00C06AE2"/>
    <w:rsid w:val="00C07D20"/>
    <w:rsid w:val="00C104BF"/>
    <w:rsid w:val="00C114E7"/>
    <w:rsid w:val="00C13300"/>
    <w:rsid w:val="00C14359"/>
    <w:rsid w:val="00C15FE1"/>
    <w:rsid w:val="00C169AB"/>
    <w:rsid w:val="00C16B73"/>
    <w:rsid w:val="00C177DE"/>
    <w:rsid w:val="00C204FD"/>
    <w:rsid w:val="00C2184A"/>
    <w:rsid w:val="00C218D9"/>
    <w:rsid w:val="00C229C3"/>
    <w:rsid w:val="00C23536"/>
    <w:rsid w:val="00C23743"/>
    <w:rsid w:val="00C24238"/>
    <w:rsid w:val="00C24E97"/>
    <w:rsid w:val="00C2508A"/>
    <w:rsid w:val="00C27587"/>
    <w:rsid w:val="00C302F0"/>
    <w:rsid w:val="00C3165E"/>
    <w:rsid w:val="00C31AEE"/>
    <w:rsid w:val="00C31D17"/>
    <w:rsid w:val="00C323E5"/>
    <w:rsid w:val="00C32474"/>
    <w:rsid w:val="00C33270"/>
    <w:rsid w:val="00C33F5E"/>
    <w:rsid w:val="00C34563"/>
    <w:rsid w:val="00C351B3"/>
    <w:rsid w:val="00C35392"/>
    <w:rsid w:val="00C3591C"/>
    <w:rsid w:val="00C375AC"/>
    <w:rsid w:val="00C3798A"/>
    <w:rsid w:val="00C40E1B"/>
    <w:rsid w:val="00C427A5"/>
    <w:rsid w:val="00C4324A"/>
    <w:rsid w:val="00C43285"/>
    <w:rsid w:val="00C4338D"/>
    <w:rsid w:val="00C438CB"/>
    <w:rsid w:val="00C438E9"/>
    <w:rsid w:val="00C43DDE"/>
    <w:rsid w:val="00C4418C"/>
    <w:rsid w:val="00C446BB"/>
    <w:rsid w:val="00C44F9E"/>
    <w:rsid w:val="00C46A5E"/>
    <w:rsid w:val="00C46F90"/>
    <w:rsid w:val="00C47B77"/>
    <w:rsid w:val="00C50DA9"/>
    <w:rsid w:val="00C50FC9"/>
    <w:rsid w:val="00C5215C"/>
    <w:rsid w:val="00C5236F"/>
    <w:rsid w:val="00C5250E"/>
    <w:rsid w:val="00C52566"/>
    <w:rsid w:val="00C52CFC"/>
    <w:rsid w:val="00C57005"/>
    <w:rsid w:val="00C571ED"/>
    <w:rsid w:val="00C575DC"/>
    <w:rsid w:val="00C609DF"/>
    <w:rsid w:val="00C6184F"/>
    <w:rsid w:val="00C627C8"/>
    <w:rsid w:val="00C63D56"/>
    <w:rsid w:val="00C6475E"/>
    <w:rsid w:val="00C652D1"/>
    <w:rsid w:val="00C66A6C"/>
    <w:rsid w:val="00C66A9D"/>
    <w:rsid w:val="00C6726C"/>
    <w:rsid w:val="00C678D7"/>
    <w:rsid w:val="00C70199"/>
    <w:rsid w:val="00C701D9"/>
    <w:rsid w:val="00C72880"/>
    <w:rsid w:val="00C736CB"/>
    <w:rsid w:val="00C73C64"/>
    <w:rsid w:val="00C73DAD"/>
    <w:rsid w:val="00C73E08"/>
    <w:rsid w:val="00C73EBE"/>
    <w:rsid w:val="00C7401B"/>
    <w:rsid w:val="00C74B27"/>
    <w:rsid w:val="00C7754A"/>
    <w:rsid w:val="00C805E5"/>
    <w:rsid w:val="00C80D13"/>
    <w:rsid w:val="00C8258A"/>
    <w:rsid w:val="00C82E53"/>
    <w:rsid w:val="00C8572C"/>
    <w:rsid w:val="00C8589E"/>
    <w:rsid w:val="00C86364"/>
    <w:rsid w:val="00C864F0"/>
    <w:rsid w:val="00C86E97"/>
    <w:rsid w:val="00C875AA"/>
    <w:rsid w:val="00C879F6"/>
    <w:rsid w:val="00C901F6"/>
    <w:rsid w:val="00C90BEB"/>
    <w:rsid w:val="00C91737"/>
    <w:rsid w:val="00C91744"/>
    <w:rsid w:val="00C91AA5"/>
    <w:rsid w:val="00C9224E"/>
    <w:rsid w:val="00C92744"/>
    <w:rsid w:val="00C927A7"/>
    <w:rsid w:val="00C93966"/>
    <w:rsid w:val="00C93F4A"/>
    <w:rsid w:val="00C94531"/>
    <w:rsid w:val="00C94F5E"/>
    <w:rsid w:val="00C9515A"/>
    <w:rsid w:val="00C95AE4"/>
    <w:rsid w:val="00C95DE5"/>
    <w:rsid w:val="00C97174"/>
    <w:rsid w:val="00C97BF5"/>
    <w:rsid w:val="00C97FBC"/>
    <w:rsid w:val="00CA01B8"/>
    <w:rsid w:val="00CA055A"/>
    <w:rsid w:val="00CA1705"/>
    <w:rsid w:val="00CA1D0A"/>
    <w:rsid w:val="00CA56C8"/>
    <w:rsid w:val="00CA57D4"/>
    <w:rsid w:val="00CA59AB"/>
    <w:rsid w:val="00CA639F"/>
    <w:rsid w:val="00CA6566"/>
    <w:rsid w:val="00CA6B7E"/>
    <w:rsid w:val="00CA6D56"/>
    <w:rsid w:val="00CB0945"/>
    <w:rsid w:val="00CB17F8"/>
    <w:rsid w:val="00CB1DC5"/>
    <w:rsid w:val="00CB1F4D"/>
    <w:rsid w:val="00CB2567"/>
    <w:rsid w:val="00CB2E48"/>
    <w:rsid w:val="00CB38F1"/>
    <w:rsid w:val="00CB3FD4"/>
    <w:rsid w:val="00CB40F3"/>
    <w:rsid w:val="00CB4160"/>
    <w:rsid w:val="00CB4B2D"/>
    <w:rsid w:val="00CB54D9"/>
    <w:rsid w:val="00CB5A15"/>
    <w:rsid w:val="00CB5B67"/>
    <w:rsid w:val="00CB5EE5"/>
    <w:rsid w:val="00CB63EA"/>
    <w:rsid w:val="00CB6621"/>
    <w:rsid w:val="00CB6D82"/>
    <w:rsid w:val="00CC09EB"/>
    <w:rsid w:val="00CC0A31"/>
    <w:rsid w:val="00CC0F2A"/>
    <w:rsid w:val="00CC15F5"/>
    <w:rsid w:val="00CC1A36"/>
    <w:rsid w:val="00CC1A4D"/>
    <w:rsid w:val="00CC2110"/>
    <w:rsid w:val="00CC2928"/>
    <w:rsid w:val="00CC387A"/>
    <w:rsid w:val="00CC3B70"/>
    <w:rsid w:val="00CC3BF2"/>
    <w:rsid w:val="00CC3ECB"/>
    <w:rsid w:val="00CC425D"/>
    <w:rsid w:val="00CC45C0"/>
    <w:rsid w:val="00CC54AC"/>
    <w:rsid w:val="00CC561D"/>
    <w:rsid w:val="00CC5C57"/>
    <w:rsid w:val="00CC608F"/>
    <w:rsid w:val="00CC6F0F"/>
    <w:rsid w:val="00CC7419"/>
    <w:rsid w:val="00CD05A2"/>
    <w:rsid w:val="00CD0B22"/>
    <w:rsid w:val="00CD18C3"/>
    <w:rsid w:val="00CD1E20"/>
    <w:rsid w:val="00CD2975"/>
    <w:rsid w:val="00CD2EDB"/>
    <w:rsid w:val="00CD38C7"/>
    <w:rsid w:val="00CD3E2B"/>
    <w:rsid w:val="00CD3EC9"/>
    <w:rsid w:val="00CD515E"/>
    <w:rsid w:val="00CD5848"/>
    <w:rsid w:val="00CD5B1A"/>
    <w:rsid w:val="00CD6162"/>
    <w:rsid w:val="00CD655E"/>
    <w:rsid w:val="00CD68EE"/>
    <w:rsid w:val="00CD6A45"/>
    <w:rsid w:val="00CD7B72"/>
    <w:rsid w:val="00CE06BC"/>
    <w:rsid w:val="00CE0E64"/>
    <w:rsid w:val="00CE0FA5"/>
    <w:rsid w:val="00CE13E2"/>
    <w:rsid w:val="00CE2087"/>
    <w:rsid w:val="00CE2359"/>
    <w:rsid w:val="00CE3056"/>
    <w:rsid w:val="00CE5D35"/>
    <w:rsid w:val="00CE7DD8"/>
    <w:rsid w:val="00CF12D7"/>
    <w:rsid w:val="00CF369C"/>
    <w:rsid w:val="00CF3E30"/>
    <w:rsid w:val="00CF40C2"/>
    <w:rsid w:val="00CF4358"/>
    <w:rsid w:val="00CF4842"/>
    <w:rsid w:val="00CF4FB7"/>
    <w:rsid w:val="00CF56B6"/>
    <w:rsid w:val="00CF5B0C"/>
    <w:rsid w:val="00CF5BEF"/>
    <w:rsid w:val="00CF6D95"/>
    <w:rsid w:val="00CF7E8A"/>
    <w:rsid w:val="00D007D3"/>
    <w:rsid w:val="00D0107D"/>
    <w:rsid w:val="00D015ED"/>
    <w:rsid w:val="00D022A9"/>
    <w:rsid w:val="00D029EF"/>
    <w:rsid w:val="00D04A67"/>
    <w:rsid w:val="00D04A75"/>
    <w:rsid w:val="00D05345"/>
    <w:rsid w:val="00D05D55"/>
    <w:rsid w:val="00D0642A"/>
    <w:rsid w:val="00D100B3"/>
    <w:rsid w:val="00D10122"/>
    <w:rsid w:val="00D11106"/>
    <w:rsid w:val="00D113BD"/>
    <w:rsid w:val="00D11832"/>
    <w:rsid w:val="00D119A0"/>
    <w:rsid w:val="00D11B1F"/>
    <w:rsid w:val="00D11B56"/>
    <w:rsid w:val="00D123E2"/>
    <w:rsid w:val="00D1316C"/>
    <w:rsid w:val="00D1516F"/>
    <w:rsid w:val="00D15C38"/>
    <w:rsid w:val="00D168F2"/>
    <w:rsid w:val="00D17259"/>
    <w:rsid w:val="00D174EC"/>
    <w:rsid w:val="00D17DDC"/>
    <w:rsid w:val="00D20979"/>
    <w:rsid w:val="00D20EE8"/>
    <w:rsid w:val="00D213FF"/>
    <w:rsid w:val="00D2223E"/>
    <w:rsid w:val="00D23247"/>
    <w:rsid w:val="00D2392E"/>
    <w:rsid w:val="00D23A5C"/>
    <w:rsid w:val="00D24436"/>
    <w:rsid w:val="00D25AB2"/>
    <w:rsid w:val="00D25DEC"/>
    <w:rsid w:val="00D2686B"/>
    <w:rsid w:val="00D27FA3"/>
    <w:rsid w:val="00D30FB8"/>
    <w:rsid w:val="00D322C4"/>
    <w:rsid w:val="00D32ABB"/>
    <w:rsid w:val="00D32C1D"/>
    <w:rsid w:val="00D32D14"/>
    <w:rsid w:val="00D33535"/>
    <w:rsid w:val="00D355A9"/>
    <w:rsid w:val="00D3702B"/>
    <w:rsid w:val="00D37F7E"/>
    <w:rsid w:val="00D40283"/>
    <w:rsid w:val="00D42A09"/>
    <w:rsid w:val="00D4330A"/>
    <w:rsid w:val="00D43BB0"/>
    <w:rsid w:val="00D43C6D"/>
    <w:rsid w:val="00D441F8"/>
    <w:rsid w:val="00D444D0"/>
    <w:rsid w:val="00D44D9F"/>
    <w:rsid w:val="00D46555"/>
    <w:rsid w:val="00D4681B"/>
    <w:rsid w:val="00D46D75"/>
    <w:rsid w:val="00D46E4A"/>
    <w:rsid w:val="00D47B5C"/>
    <w:rsid w:val="00D50822"/>
    <w:rsid w:val="00D51595"/>
    <w:rsid w:val="00D5220F"/>
    <w:rsid w:val="00D524FE"/>
    <w:rsid w:val="00D52812"/>
    <w:rsid w:val="00D548B7"/>
    <w:rsid w:val="00D54BCF"/>
    <w:rsid w:val="00D556F1"/>
    <w:rsid w:val="00D56427"/>
    <w:rsid w:val="00D57A1F"/>
    <w:rsid w:val="00D602A3"/>
    <w:rsid w:val="00D61CE7"/>
    <w:rsid w:val="00D61E8C"/>
    <w:rsid w:val="00D62753"/>
    <w:rsid w:val="00D629A6"/>
    <w:rsid w:val="00D631F2"/>
    <w:rsid w:val="00D64764"/>
    <w:rsid w:val="00D66AA1"/>
    <w:rsid w:val="00D66AD7"/>
    <w:rsid w:val="00D6709E"/>
    <w:rsid w:val="00D70AA1"/>
    <w:rsid w:val="00D71051"/>
    <w:rsid w:val="00D71C17"/>
    <w:rsid w:val="00D7328D"/>
    <w:rsid w:val="00D7331F"/>
    <w:rsid w:val="00D73FDA"/>
    <w:rsid w:val="00D742EB"/>
    <w:rsid w:val="00D74873"/>
    <w:rsid w:val="00D74F38"/>
    <w:rsid w:val="00D75A43"/>
    <w:rsid w:val="00D75FFE"/>
    <w:rsid w:val="00D76CAF"/>
    <w:rsid w:val="00D778C8"/>
    <w:rsid w:val="00D80E05"/>
    <w:rsid w:val="00D80F7E"/>
    <w:rsid w:val="00D81205"/>
    <w:rsid w:val="00D81C42"/>
    <w:rsid w:val="00D83303"/>
    <w:rsid w:val="00D83CD5"/>
    <w:rsid w:val="00D84112"/>
    <w:rsid w:val="00D84B45"/>
    <w:rsid w:val="00D85777"/>
    <w:rsid w:val="00D8707B"/>
    <w:rsid w:val="00D87265"/>
    <w:rsid w:val="00D9064F"/>
    <w:rsid w:val="00D907BF"/>
    <w:rsid w:val="00D90B20"/>
    <w:rsid w:val="00D91629"/>
    <w:rsid w:val="00D926FF"/>
    <w:rsid w:val="00D93BFF"/>
    <w:rsid w:val="00D93DA4"/>
    <w:rsid w:val="00D93E6F"/>
    <w:rsid w:val="00D959B3"/>
    <w:rsid w:val="00D95E68"/>
    <w:rsid w:val="00D96939"/>
    <w:rsid w:val="00D96DF4"/>
    <w:rsid w:val="00DA095D"/>
    <w:rsid w:val="00DA0B46"/>
    <w:rsid w:val="00DA15B8"/>
    <w:rsid w:val="00DA35C5"/>
    <w:rsid w:val="00DA4931"/>
    <w:rsid w:val="00DA502B"/>
    <w:rsid w:val="00DA5214"/>
    <w:rsid w:val="00DA5E18"/>
    <w:rsid w:val="00DA63E3"/>
    <w:rsid w:val="00DA68F0"/>
    <w:rsid w:val="00DA697B"/>
    <w:rsid w:val="00DB0298"/>
    <w:rsid w:val="00DB0352"/>
    <w:rsid w:val="00DB0B01"/>
    <w:rsid w:val="00DB171D"/>
    <w:rsid w:val="00DB2A5C"/>
    <w:rsid w:val="00DB33B3"/>
    <w:rsid w:val="00DB393C"/>
    <w:rsid w:val="00DB3D8A"/>
    <w:rsid w:val="00DB4F6D"/>
    <w:rsid w:val="00DB64FC"/>
    <w:rsid w:val="00DB6C11"/>
    <w:rsid w:val="00DB72A2"/>
    <w:rsid w:val="00DB74CA"/>
    <w:rsid w:val="00DB7B3C"/>
    <w:rsid w:val="00DC0285"/>
    <w:rsid w:val="00DC0702"/>
    <w:rsid w:val="00DC0C07"/>
    <w:rsid w:val="00DC1DF4"/>
    <w:rsid w:val="00DC2B7B"/>
    <w:rsid w:val="00DC4F60"/>
    <w:rsid w:val="00DC5370"/>
    <w:rsid w:val="00DC5590"/>
    <w:rsid w:val="00DC61AB"/>
    <w:rsid w:val="00DC6C9A"/>
    <w:rsid w:val="00DC6CB6"/>
    <w:rsid w:val="00DC6EB4"/>
    <w:rsid w:val="00DC7A3D"/>
    <w:rsid w:val="00DC7C97"/>
    <w:rsid w:val="00DC7CC1"/>
    <w:rsid w:val="00DC7E61"/>
    <w:rsid w:val="00DC7F52"/>
    <w:rsid w:val="00DD023F"/>
    <w:rsid w:val="00DD07AF"/>
    <w:rsid w:val="00DD0EA9"/>
    <w:rsid w:val="00DD22F3"/>
    <w:rsid w:val="00DD305C"/>
    <w:rsid w:val="00DD3AD1"/>
    <w:rsid w:val="00DD3BB9"/>
    <w:rsid w:val="00DD3EA1"/>
    <w:rsid w:val="00DD4162"/>
    <w:rsid w:val="00DD4642"/>
    <w:rsid w:val="00DD472E"/>
    <w:rsid w:val="00DD6172"/>
    <w:rsid w:val="00DD71E0"/>
    <w:rsid w:val="00DD7728"/>
    <w:rsid w:val="00DE073C"/>
    <w:rsid w:val="00DE08FB"/>
    <w:rsid w:val="00DE094A"/>
    <w:rsid w:val="00DE0B71"/>
    <w:rsid w:val="00DE258A"/>
    <w:rsid w:val="00DE2C0F"/>
    <w:rsid w:val="00DE3448"/>
    <w:rsid w:val="00DE34A9"/>
    <w:rsid w:val="00DE4FD5"/>
    <w:rsid w:val="00DE5754"/>
    <w:rsid w:val="00DE587E"/>
    <w:rsid w:val="00DE5BC7"/>
    <w:rsid w:val="00DE6195"/>
    <w:rsid w:val="00DE66EF"/>
    <w:rsid w:val="00DE7781"/>
    <w:rsid w:val="00DE7D70"/>
    <w:rsid w:val="00DE7ED1"/>
    <w:rsid w:val="00DF001C"/>
    <w:rsid w:val="00DF1128"/>
    <w:rsid w:val="00DF1942"/>
    <w:rsid w:val="00DF1AAF"/>
    <w:rsid w:val="00DF2EAC"/>
    <w:rsid w:val="00DF442E"/>
    <w:rsid w:val="00DF47CE"/>
    <w:rsid w:val="00DF4C32"/>
    <w:rsid w:val="00DF77FE"/>
    <w:rsid w:val="00DF7BDF"/>
    <w:rsid w:val="00E00E5C"/>
    <w:rsid w:val="00E01CF9"/>
    <w:rsid w:val="00E02D33"/>
    <w:rsid w:val="00E04073"/>
    <w:rsid w:val="00E05A5A"/>
    <w:rsid w:val="00E06253"/>
    <w:rsid w:val="00E06AD2"/>
    <w:rsid w:val="00E10D8B"/>
    <w:rsid w:val="00E11083"/>
    <w:rsid w:val="00E11F18"/>
    <w:rsid w:val="00E124BF"/>
    <w:rsid w:val="00E13A89"/>
    <w:rsid w:val="00E13AAA"/>
    <w:rsid w:val="00E15287"/>
    <w:rsid w:val="00E15C10"/>
    <w:rsid w:val="00E16747"/>
    <w:rsid w:val="00E16C71"/>
    <w:rsid w:val="00E20085"/>
    <w:rsid w:val="00E205A6"/>
    <w:rsid w:val="00E208F6"/>
    <w:rsid w:val="00E2111E"/>
    <w:rsid w:val="00E2123A"/>
    <w:rsid w:val="00E21255"/>
    <w:rsid w:val="00E216C8"/>
    <w:rsid w:val="00E22DBC"/>
    <w:rsid w:val="00E231DB"/>
    <w:rsid w:val="00E23AF9"/>
    <w:rsid w:val="00E23CFB"/>
    <w:rsid w:val="00E24E6C"/>
    <w:rsid w:val="00E26BF9"/>
    <w:rsid w:val="00E27384"/>
    <w:rsid w:val="00E3098A"/>
    <w:rsid w:val="00E309AB"/>
    <w:rsid w:val="00E31006"/>
    <w:rsid w:val="00E31D3A"/>
    <w:rsid w:val="00E324A4"/>
    <w:rsid w:val="00E32CCF"/>
    <w:rsid w:val="00E32E22"/>
    <w:rsid w:val="00E3314A"/>
    <w:rsid w:val="00E336FC"/>
    <w:rsid w:val="00E33845"/>
    <w:rsid w:val="00E3419C"/>
    <w:rsid w:val="00E344F1"/>
    <w:rsid w:val="00E3503B"/>
    <w:rsid w:val="00E353D4"/>
    <w:rsid w:val="00E361D2"/>
    <w:rsid w:val="00E36BB6"/>
    <w:rsid w:val="00E372C0"/>
    <w:rsid w:val="00E372E3"/>
    <w:rsid w:val="00E37514"/>
    <w:rsid w:val="00E40FA3"/>
    <w:rsid w:val="00E41A83"/>
    <w:rsid w:val="00E41EB7"/>
    <w:rsid w:val="00E41F22"/>
    <w:rsid w:val="00E41F6E"/>
    <w:rsid w:val="00E42F58"/>
    <w:rsid w:val="00E438FA"/>
    <w:rsid w:val="00E451A9"/>
    <w:rsid w:val="00E465C5"/>
    <w:rsid w:val="00E4698B"/>
    <w:rsid w:val="00E47CCD"/>
    <w:rsid w:val="00E5024F"/>
    <w:rsid w:val="00E50557"/>
    <w:rsid w:val="00E51B13"/>
    <w:rsid w:val="00E52DC8"/>
    <w:rsid w:val="00E531FC"/>
    <w:rsid w:val="00E53E98"/>
    <w:rsid w:val="00E53E9D"/>
    <w:rsid w:val="00E5512E"/>
    <w:rsid w:val="00E56B8D"/>
    <w:rsid w:val="00E601CA"/>
    <w:rsid w:val="00E603B6"/>
    <w:rsid w:val="00E60B22"/>
    <w:rsid w:val="00E60F2D"/>
    <w:rsid w:val="00E61358"/>
    <w:rsid w:val="00E61E79"/>
    <w:rsid w:val="00E62279"/>
    <w:rsid w:val="00E62CCF"/>
    <w:rsid w:val="00E62DCA"/>
    <w:rsid w:val="00E63900"/>
    <w:rsid w:val="00E6394C"/>
    <w:rsid w:val="00E639D8"/>
    <w:rsid w:val="00E65B23"/>
    <w:rsid w:val="00E65F31"/>
    <w:rsid w:val="00E66222"/>
    <w:rsid w:val="00E67370"/>
    <w:rsid w:val="00E67D4A"/>
    <w:rsid w:val="00E70410"/>
    <w:rsid w:val="00E70E54"/>
    <w:rsid w:val="00E71093"/>
    <w:rsid w:val="00E71501"/>
    <w:rsid w:val="00E719EC"/>
    <w:rsid w:val="00E71D42"/>
    <w:rsid w:val="00E71FAD"/>
    <w:rsid w:val="00E72530"/>
    <w:rsid w:val="00E7294E"/>
    <w:rsid w:val="00E72E25"/>
    <w:rsid w:val="00E731AE"/>
    <w:rsid w:val="00E7391E"/>
    <w:rsid w:val="00E73F69"/>
    <w:rsid w:val="00E750CA"/>
    <w:rsid w:val="00E75B23"/>
    <w:rsid w:val="00E76D2A"/>
    <w:rsid w:val="00E779CF"/>
    <w:rsid w:val="00E77C2D"/>
    <w:rsid w:val="00E80500"/>
    <w:rsid w:val="00E82008"/>
    <w:rsid w:val="00E82816"/>
    <w:rsid w:val="00E8291C"/>
    <w:rsid w:val="00E831FD"/>
    <w:rsid w:val="00E8349D"/>
    <w:rsid w:val="00E83533"/>
    <w:rsid w:val="00E8509F"/>
    <w:rsid w:val="00E8745C"/>
    <w:rsid w:val="00E878FA"/>
    <w:rsid w:val="00E87E7E"/>
    <w:rsid w:val="00E87E87"/>
    <w:rsid w:val="00E9013B"/>
    <w:rsid w:val="00E92273"/>
    <w:rsid w:val="00E93003"/>
    <w:rsid w:val="00E93AD8"/>
    <w:rsid w:val="00E93BEB"/>
    <w:rsid w:val="00E9502E"/>
    <w:rsid w:val="00E955A7"/>
    <w:rsid w:val="00EA003F"/>
    <w:rsid w:val="00EA0C41"/>
    <w:rsid w:val="00EA0CDF"/>
    <w:rsid w:val="00EA0DB3"/>
    <w:rsid w:val="00EA1EA7"/>
    <w:rsid w:val="00EA30F3"/>
    <w:rsid w:val="00EA3409"/>
    <w:rsid w:val="00EA379C"/>
    <w:rsid w:val="00EA40D4"/>
    <w:rsid w:val="00EA602E"/>
    <w:rsid w:val="00EA6720"/>
    <w:rsid w:val="00EA6B90"/>
    <w:rsid w:val="00EA7A63"/>
    <w:rsid w:val="00EB0984"/>
    <w:rsid w:val="00EB0F38"/>
    <w:rsid w:val="00EB1D00"/>
    <w:rsid w:val="00EB3629"/>
    <w:rsid w:val="00EB5F70"/>
    <w:rsid w:val="00EB6307"/>
    <w:rsid w:val="00EB6994"/>
    <w:rsid w:val="00EC0CC3"/>
    <w:rsid w:val="00EC16DA"/>
    <w:rsid w:val="00EC32B1"/>
    <w:rsid w:val="00EC370D"/>
    <w:rsid w:val="00EC48C7"/>
    <w:rsid w:val="00EC4E41"/>
    <w:rsid w:val="00EC5440"/>
    <w:rsid w:val="00EC5F39"/>
    <w:rsid w:val="00EC62C2"/>
    <w:rsid w:val="00EC642B"/>
    <w:rsid w:val="00EC694D"/>
    <w:rsid w:val="00EC7B77"/>
    <w:rsid w:val="00EC7EFC"/>
    <w:rsid w:val="00ED13AE"/>
    <w:rsid w:val="00ED1A6B"/>
    <w:rsid w:val="00ED2147"/>
    <w:rsid w:val="00ED2F18"/>
    <w:rsid w:val="00ED3B1B"/>
    <w:rsid w:val="00ED466D"/>
    <w:rsid w:val="00ED6ABB"/>
    <w:rsid w:val="00ED6E1B"/>
    <w:rsid w:val="00EE11BB"/>
    <w:rsid w:val="00EE1429"/>
    <w:rsid w:val="00EE1820"/>
    <w:rsid w:val="00EE188D"/>
    <w:rsid w:val="00EE23CE"/>
    <w:rsid w:val="00EE2AF9"/>
    <w:rsid w:val="00EE2D25"/>
    <w:rsid w:val="00EE315E"/>
    <w:rsid w:val="00EE6616"/>
    <w:rsid w:val="00EE6FF1"/>
    <w:rsid w:val="00EE70C2"/>
    <w:rsid w:val="00EF0DFD"/>
    <w:rsid w:val="00EF1084"/>
    <w:rsid w:val="00EF1190"/>
    <w:rsid w:val="00EF12D9"/>
    <w:rsid w:val="00EF216D"/>
    <w:rsid w:val="00EF284C"/>
    <w:rsid w:val="00EF288C"/>
    <w:rsid w:val="00EF2BF4"/>
    <w:rsid w:val="00EF626E"/>
    <w:rsid w:val="00EF62B6"/>
    <w:rsid w:val="00EF7583"/>
    <w:rsid w:val="00F002E5"/>
    <w:rsid w:val="00F00308"/>
    <w:rsid w:val="00F009C7"/>
    <w:rsid w:val="00F00B12"/>
    <w:rsid w:val="00F0189F"/>
    <w:rsid w:val="00F0194E"/>
    <w:rsid w:val="00F02F6F"/>
    <w:rsid w:val="00F041F3"/>
    <w:rsid w:val="00F05D71"/>
    <w:rsid w:val="00F062D1"/>
    <w:rsid w:val="00F06314"/>
    <w:rsid w:val="00F06E2C"/>
    <w:rsid w:val="00F113CC"/>
    <w:rsid w:val="00F11B33"/>
    <w:rsid w:val="00F11C51"/>
    <w:rsid w:val="00F122A8"/>
    <w:rsid w:val="00F125AB"/>
    <w:rsid w:val="00F126C2"/>
    <w:rsid w:val="00F138FF"/>
    <w:rsid w:val="00F13AE2"/>
    <w:rsid w:val="00F13EAF"/>
    <w:rsid w:val="00F148FD"/>
    <w:rsid w:val="00F154E1"/>
    <w:rsid w:val="00F16099"/>
    <w:rsid w:val="00F16249"/>
    <w:rsid w:val="00F165D9"/>
    <w:rsid w:val="00F16C87"/>
    <w:rsid w:val="00F17AFB"/>
    <w:rsid w:val="00F17C01"/>
    <w:rsid w:val="00F2202E"/>
    <w:rsid w:val="00F2438C"/>
    <w:rsid w:val="00F246A0"/>
    <w:rsid w:val="00F2569D"/>
    <w:rsid w:val="00F25A0C"/>
    <w:rsid w:val="00F26226"/>
    <w:rsid w:val="00F26F91"/>
    <w:rsid w:val="00F27B82"/>
    <w:rsid w:val="00F30F62"/>
    <w:rsid w:val="00F313DF"/>
    <w:rsid w:val="00F319A4"/>
    <w:rsid w:val="00F31BAF"/>
    <w:rsid w:val="00F31FF6"/>
    <w:rsid w:val="00F339AF"/>
    <w:rsid w:val="00F3436A"/>
    <w:rsid w:val="00F34437"/>
    <w:rsid w:val="00F34783"/>
    <w:rsid w:val="00F357E4"/>
    <w:rsid w:val="00F373D1"/>
    <w:rsid w:val="00F40BA6"/>
    <w:rsid w:val="00F40F0C"/>
    <w:rsid w:val="00F420E5"/>
    <w:rsid w:val="00F44854"/>
    <w:rsid w:val="00F44983"/>
    <w:rsid w:val="00F44BC7"/>
    <w:rsid w:val="00F4518B"/>
    <w:rsid w:val="00F45799"/>
    <w:rsid w:val="00F466C8"/>
    <w:rsid w:val="00F47288"/>
    <w:rsid w:val="00F47954"/>
    <w:rsid w:val="00F47E5E"/>
    <w:rsid w:val="00F50723"/>
    <w:rsid w:val="00F508F5"/>
    <w:rsid w:val="00F51113"/>
    <w:rsid w:val="00F51226"/>
    <w:rsid w:val="00F5173E"/>
    <w:rsid w:val="00F51750"/>
    <w:rsid w:val="00F51DCC"/>
    <w:rsid w:val="00F51F6D"/>
    <w:rsid w:val="00F52B34"/>
    <w:rsid w:val="00F52DCC"/>
    <w:rsid w:val="00F52E9A"/>
    <w:rsid w:val="00F53F08"/>
    <w:rsid w:val="00F5491C"/>
    <w:rsid w:val="00F55B95"/>
    <w:rsid w:val="00F55DCD"/>
    <w:rsid w:val="00F55E40"/>
    <w:rsid w:val="00F60AE0"/>
    <w:rsid w:val="00F6159E"/>
    <w:rsid w:val="00F61F35"/>
    <w:rsid w:val="00F636C1"/>
    <w:rsid w:val="00F64CD4"/>
    <w:rsid w:val="00F6546E"/>
    <w:rsid w:val="00F66401"/>
    <w:rsid w:val="00F66A80"/>
    <w:rsid w:val="00F67AAE"/>
    <w:rsid w:val="00F709C8"/>
    <w:rsid w:val="00F74DA8"/>
    <w:rsid w:val="00F74E5F"/>
    <w:rsid w:val="00F75382"/>
    <w:rsid w:val="00F75853"/>
    <w:rsid w:val="00F75D5F"/>
    <w:rsid w:val="00F75E92"/>
    <w:rsid w:val="00F76DF3"/>
    <w:rsid w:val="00F77A00"/>
    <w:rsid w:val="00F77D22"/>
    <w:rsid w:val="00F80462"/>
    <w:rsid w:val="00F837F5"/>
    <w:rsid w:val="00F84531"/>
    <w:rsid w:val="00F85727"/>
    <w:rsid w:val="00F85AAC"/>
    <w:rsid w:val="00F85ADE"/>
    <w:rsid w:val="00F8778A"/>
    <w:rsid w:val="00F877B9"/>
    <w:rsid w:val="00F91308"/>
    <w:rsid w:val="00F913C4"/>
    <w:rsid w:val="00F930D6"/>
    <w:rsid w:val="00F94792"/>
    <w:rsid w:val="00F9655A"/>
    <w:rsid w:val="00F96D5B"/>
    <w:rsid w:val="00FA17EB"/>
    <w:rsid w:val="00FA1E80"/>
    <w:rsid w:val="00FA2E66"/>
    <w:rsid w:val="00FA47AC"/>
    <w:rsid w:val="00FA4B2B"/>
    <w:rsid w:val="00FA719E"/>
    <w:rsid w:val="00FA77C9"/>
    <w:rsid w:val="00FA7D90"/>
    <w:rsid w:val="00FB0088"/>
    <w:rsid w:val="00FB0780"/>
    <w:rsid w:val="00FB26DD"/>
    <w:rsid w:val="00FB36CC"/>
    <w:rsid w:val="00FB3A3E"/>
    <w:rsid w:val="00FB4043"/>
    <w:rsid w:val="00FB448E"/>
    <w:rsid w:val="00FB4631"/>
    <w:rsid w:val="00FB4B54"/>
    <w:rsid w:val="00FB4E80"/>
    <w:rsid w:val="00FB5E10"/>
    <w:rsid w:val="00FB62E2"/>
    <w:rsid w:val="00FB66D7"/>
    <w:rsid w:val="00FB7982"/>
    <w:rsid w:val="00FB7B95"/>
    <w:rsid w:val="00FC0AED"/>
    <w:rsid w:val="00FC1B2E"/>
    <w:rsid w:val="00FC286A"/>
    <w:rsid w:val="00FC316B"/>
    <w:rsid w:val="00FC345A"/>
    <w:rsid w:val="00FC446D"/>
    <w:rsid w:val="00FD0D3B"/>
    <w:rsid w:val="00FD1948"/>
    <w:rsid w:val="00FD1AEC"/>
    <w:rsid w:val="00FD20D2"/>
    <w:rsid w:val="00FD2603"/>
    <w:rsid w:val="00FD3B2C"/>
    <w:rsid w:val="00FD3EBB"/>
    <w:rsid w:val="00FD411C"/>
    <w:rsid w:val="00FD5520"/>
    <w:rsid w:val="00FD6606"/>
    <w:rsid w:val="00FD6978"/>
    <w:rsid w:val="00FD748B"/>
    <w:rsid w:val="00FE19AA"/>
    <w:rsid w:val="00FE1C3C"/>
    <w:rsid w:val="00FE43C7"/>
    <w:rsid w:val="00FE6620"/>
    <w:rsid w:val="00FE6997"/>
    <w:rsid w:val="00FE6F5C"/>
    <w:rsid w:val="00FE7456"/>
    <w:rsid w:val="00FF06FA"/>
    <w:rsid w:val="00FF13F8"/>
    <w:rsid w:val="00FF2228"/>
    <w:rsid w:val="00FF2744"/>
    <w:rsid w:val="00FF2B54"/>
    <w:rsid w:val="00FF2DD0"/>
    <w:rsid w:val="00FF572C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2042E"/>
  <w15:docId w15:val="{8537B4B7-F5CD-49E1-BBD8-14DB27BB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753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5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D62753"/>
  </w:style>
  <w:style w:type="character" w:customStyle="1" w:styleId="ListLabel1">
    <w:name w:val="ListLabel 1"/>
    <w:rsid w:val="00D62753"/>
    <w:rPr>
      <w:rFonts w:eastAsia="Arial Unicode MS" w:cs="Arial"/>
    </w:rPr>
  </w:style>
  <w:style w:type="character" w:customStyle="1" w:styleId="Absatz-Standardschriftart">
    <w:name w:val="Absatz-Standardschriftart"/>
    <w:rsid w:val="00D62753"/>
  </w:style>
  <w:style w:type="character" w:customStyle="1" w:styleId="BalloonTextChar">
    <w:name w:val="Balloon Text Char"/>
    <w:rsid w:val="00D62753"/>
    <w:rPr>
      <w:rFonts w:ascii="Tahoma" w:eastAsia="Arial Unicode MS" w:hAnsi="Tahoma" w:cs="Tahoma"/>
      <w:kern w:val="1"/>
      <w:sz w:val="16"/>
      <w:szCs w:val="16"/>
      <w:lang w:val="en-US" w:eastAsia="ar-SA" w:bidi="ar-SA"/>
    </w:rPr>
  </w:style>
  <w:style w:type="character" w:customStyle="1" w:styleId="FooterChar">
    <w:name w:val="Footer Char"/>
    <w:basedOn w:val="DefaultParagraphFont"/>
    <w:uiPriority w:val="99"/>
    <w:rsid w:val="00D62753"/>
    <w:rPr>
      <w:rFonts w:ascii="Calibri" w:hAnsi="Calibri"/>
      <w:sz w:val="22"/>
      <w:szCs w:val="22"/>
      <w:lang w:val="en-US"/>
    </w:rPr>
  </w:style>
  <w:style w:type="paragraph" w:customStyle="1" w:styleId="Heading">
    <w:name w:val="Heading"/>
    <w:basedOn w:val="Normal"/>
    <w:next w:val="BodyText"/>
    <w:rsid w:val="00D62753"/>
    <w:pPr>
      <w:keepNext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eastAsia="ar-SA" w:bidi="ar-SA"/>
    </w:rPr>
  </w:style>
  <w:style w:type="paragraph" w:styleId="BodyText">
    <w:name w:val="Body Text"/>
    <w:basedOn w:val="Normal"/>
    <w:link w:val="BodyTextChar"/>
    <w:rsid w:val="00D62753"/>
    <w:pPr>
      <w:suppressAutoHyphens/>
      <w:spacing w:after="120"/>
    </w:pPr>
    <w:rPr>
      <w:rFonts w:ascii="Arial" w:eastAsia="Arial Unicode MS" w:hAnsi="Arial" w:cs="Tahoma"/>
      <w:kern w:val="1"/>
      <w:lang w:eastAsia="ar-SA" w:bidi="ar-SA"/>
    </w:rPr>
  </w:style>
  <w:style w:type="character" w:customStyle="1" w:styleId="BodyTextChar">
    <w:name w:val="Body Text Char"/>
    <w:basedOn w:val="DefaultParagraphFont"/>
    <w:link w:val="BodyText"/>
    <w:rsid w:val="00D62753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List">
    <w:name w:val="List"/>
    <w:basedOn w:val="BodyText"/>
    <w:rsid w:val="00D62753"/>
  </w:style>
  <w:style w:type="paragraph" w:styleId="Caption">
    <w:name w:val="caption"/>
    <w:basedOn w:val="Normal"/>
    <w:qFormat/>
    <w:rsid w:val="00D62753"/>
    <w:pPr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lang w:eastAsia="ar-SA" w:bidi="ar-SA"/>
    </w:rPr>
  </w:style>
  <w:style w:type="paragraph" w:customStyle="1" w:styleId="Index">
    <w:name w:val="Index"/>
    <w:basedOn w:val="Normal"/>
    <w:rsid w:val="00D62753"/>
    <w:pPr>
      <w:suppressLineNumbers/>
      <w:suppressAutoHyphens/>
    </w:pPr>
    <w:rPr>
      <w:rFonts w:ascii="Arial" w:eastAsia="Arial Unicode MS" w:hAnsi="Arial" w:cs="Tahoma"/>
      <w:kern w:val="1"/>
      <w:lang w:eastAsia="ar-SA" w:bidi="ar-SA"/>
    </w:rPr>
  </w:style>
  <w:style w:type="paragraph" w:customStyle="1" w:styleId="Caption1">
    <w:name w:val="Caption1"/>
    <w:basedOn w:val="Normal"/>
    <w:rsid w:val="00D62753"/>
    <w:pPr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lang w:eastAsia="ar-SA" w:bidi="ar-SA"/>
    </w:rPr>
  </w:style>
  <w:style w:type="paragraph" w:customStyle="1" w:styleId="Caption11">
    <w:name w:val="Caption11"/>
    <w:basedOn w:val="Normal"/>
    <w:rsid w:val="00D62753"/>
    <w:pPr>
      <w:suppressLineNumbers/>
      <w:suppressAutoHyphens/>
      <w:spacing w:before="120" w:after="120"/>
    </w:pPr>
    <w:rPr>
      <w:rFonts w:ascii="Arial" w:eastAsia="Arial Unicode MS" w:hAnsi="Arial" w:cs="Tahoma"/>
      <w:i/>
      <w:iCs/>
      <w:kern w:val="1"/>
      <w:lang w:eastAsia="ar-SA" w:bidi="ar-SA"/>
    </w:rPr>
  </w:style>
  <w:style w:type="paragraph" w:styleId="NoSpacing">
    <w:name w:val="No Spacing"/>
    <w:uiPriority w:val="1"/>
    <w:qFormat/>
    <w:rsid w:val="00D62753"/>
    <w:pPr>
      <w:suppressAutoHyphens/>
      <w:spacing w:after="0" w:line="100" w:lineRule="atLeast"/>
    </w:pPr>
    <w:rPr>
      <w:rFonts w:ascii="Calibri" w:eastAsia="Lucida Sans Unicode" w:hAnsi="Calibri" w:cs="Tahoma"/>
      <w:kern w:val="1"/>
      <w:szCs w:val="20"/>
      <w:lang w:eastAsia="hi-IN" w:bidi="hi-IN"/>
    </w:rPr>
  </w:style>
  <w:style w:type="paragraph" w:styleId="Title">
    <w:name w:val="Title"/>
    <w:basedOn w:val="Normal"/>
    <w:next w:val="Subtitle"/>
    <w:link w:val="TitleChar"/>
    <w:qFormat/>
    <w:rsid w:val="00D62753"/>
    <w:pPr>
      <w:pBdr>
        <w:bottom w:val="single" w:sz="8" w:space="0" w:color="808080"/>
      </w:pBdr>
      <w:suppressAutoHyphens/>
      <w:spacing w:after="300" w:line="100" w:lineRule="atLeast"/>
      <w:jc w:val="center"/>
    </w:pPr>
    <w:rPr>
      <w:rFonts w:ascii="Cambria" w:eastAsia="Arial Unicode MS" w:hAnsi="Cambria" w:cs="SimSun"/>
      <w:b/>
      <w:bCs/>
      <w:color w:val="17365D"/>
      <w:spacing w:val="5"/>
      <w:kern w:val="1"/>
      <w:sz w:val="52"/>
      <w:szCs w:val="47"/>
      <w:lang w:eastAsia="ar-SA" w:bidi="ar-SA"/>
    </w:rPr>
  </w:style>
  <w:style w:type="character" w:customStyle="1" w:styleId="TitleChar">
    <w:name w:val="Title Char"/>
    <w:basedOn w:val="DefaultParagraphFont"/>
    <w:link w:val="Title"/>
    <w:rsid w:val="00D62753"/>
    <w:rPr>
      <w:rFonts w:ascii="Cambria" w:eastAsia="Arial Unicode MS" w:hAnsi="Cambria" w:cs="SimSun"/>
      <w:b/>
      <w:bCs/>
      <w:color w:val="17365D"/>
      <w:spacing w:val="5"/>
      <w:kern w:val="1"/>
      <w:sz w:val="52"/>
      <w:szCs w:val="47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D6275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D62753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D62753"/>
    <w:pPr>
      <w:suppressAutoHyphens/>
      <w:ind w:left="720"/>
    </w:pPr>
    <w:rPr>
      <w:rFonts w:ascii="Calibri" w:eastAsia="Calibri" w:hAnsi="Calibri" w:cs="Calibri"/>
      <w:kern w:val="1"/>
      <w:szCs w:val="22"/>
      <w:lang w:eastAsia="ar-SA" w:bidi="ar-SA"/>
    </w:rPr>
  </w:style>
  <w:style w:type="paragraph" w:customStyle="1" w:styleId="TableContents">
    <w:name w:val="Table Contents"/>
    <w:basedOn w:val="Normal"/>
    <w:rsid w:val="00D62753"/>
    <w:pPr>
      <w:suppressLineNumbers/>
      <w:suppressAutoHyphens/>
      <w:spacing w:line="100" w:lineRule="atLeast"/>
    </w:pPr>
    <w:rPr>
      <w:rFonts w:ascii="Arial" w:eastAsia="Arial Unicode MS" w:hAnsi="Arial"/>
      <w:kern w:val="1"/>
      <w:lang w:eastAsia="ar-SA" w:bidi="ar-SA"/>
    </w:rPr>
  </w:style>
  <w:style w:type="paragraph" w:customStyle="1" w:styleId="TableHeading">
    <w:name w:val="Table Heading"/>
    <w:basedOn w:val="TableContents"/>
    <w:rsid w:val="00D6275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D62753"/>
    <w:pPr>
      <w:suppressAutoHyphens/>
    </w:pPr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character" w:customStyle="1" w:styleId="BalloonTextChar1">
    <w:name w:val="Balloon Text Char1"/>
    <w:basedOn w:val="DefaultParagraphFont"/>
    <w:link w:val="BalloonText"/>
    <w:rsid w:val="00D6275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Footer">
    <w:name w:val="footer"/>
    <w:basedOn w:val="Normal"/>
    <w:link w:val="FooterChar1"/>
    <w:uiPriority w:val="99"/>
    <w:rsid w:val="00D62753"/>
    <w:pPr>
      <w:suppressLineNumbers/>
      <w:tabs>
        <w:tab w:val="center" w:pos="4680"/>
        <w:tab w:val="right" w:pos="9360"/>
      </w:tabs>
    </w:pPr>
    <w:rPr>
      <w:rFonts w:ascii="Calibri" w:eastAsia="Arial Unicode MS" w:hAnsi="Calibri" w:cs="Tahoma"/>
      <w:kern w:val="1"/>
      <w:sz w:val="22"/>
      <w:szCs w:val="22"/>
      <w:lang w:eastAsia="ar-SA" w:bidi="ar-SA"/>
    </w:rPr>
  </w:style>
  <w:style w:type="character" w:customStyle="1" w:styleId="FooterChar1">
    <w:name w:val="Footer Char1"/>
    <w:basedOn w:val="DefaultParagraphFont"/>
    <w:link w:val="Footer"/>
    <w:uiPriority w:val="99"/>
    <w:rsid w:val="00D62753"/>
    <w:rPr>
      <w:rFonts w:ascii="Calibri" w:eastAsia="Arial Unicode MS" w:hAnsi="Calibri" w:cs="Tahoma"/>
      <w:kern w:val="1"/>
      <w:lang w:eastAsia="ar-SA"/>
    </w:rPr>
  </w:style>
  <w:style w:type="table" w:styleId="TableGrid">
    <w:name w:val="Table Grid"/>
    <w:basedOn w:val="TableNormal"/>
    <w:uiPriority w:val="59"/>
    <w:rsid w:val="00D627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Text">
    <w:name w:val="Default Text"/>
    <w:rsid w:val="00D6275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imes New Roman"/>
      <w:kern w:val="3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D62753"/>
    <w:pPr>
      <w:tabs>
        <w:tab w:val="center" w:pos="4513"/>
        <w:tab w:val="right" w:pos="9026"/>
      </w:tabs>
      <w:suppressAutoHyphens/>
    </w:pPr>
    <w:rPr>
      <w:rFonts w:ascii="Arial" w:eastAsia="Arial Unicode MS" w:hAnsi="Arial" w:cs="Tahoma"/>
      <w:kern w:val="1"/>
      <w:lang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rsid w:val="00D62753"/>
    <w:rPr>
      <w:rFonts w:ascii="Arial" w:eastAsia="Arial Unicode MS" w:hAnsi="Arial" w:cs="Tahoma"/>
      <w:kern w:val="1"/>
      <w:sz w:val="24"/>
      <w:szCs w:val="24"/>
      <w:lang w:eastAsia="ar-SA"/>
    </w:rPr>
  </w:style>
  <w:style w:type="table" w:customStyle="1" w:styleId="PlainTable11">
    <w:name w:val="Plain Table 11"/>
    <w:basedOn w:val="TableNormal"/>
    <w:uiPriority w:val="41"/>
    <w:rsid w:val="00D627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D627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D6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7B77"/>
    <w:pPr>
      <w:spacing w:before="240" w:after="180" w:line="300" w:lineRule="atLeast"/>
    </w:pPr>
    <w:rPr>
      <w:sz w:val="23"/>
      <w:szCs w:val="23"/>
      <w:lang w:bidi="ar-SA"/>
    </w:rPr>
  </w:style>
  <w:style w:type="character" w:styleId="Hyperlink">
    <w:name w:val="Hyperlink"/>
    <w:basedOn w:val="DefaultParagraphFont"/>
    <w:uiPriority w:val="99"/>
    <w:unhideWhenUsed/>
    <w:rsid w:val="00FE19AA"/>
    <w:rPr>
      <w:color w:val="0563C1" w:themeColor="hyperlink"/>
      <w:u w:val="single"/>
    </w:rPr>
  </w:style>
  <w:style w:type="paragraph" w:customStyle="1" w:styleId="Default">
    <w:name w:val="Default"/>
    <w:rsid w:val="00D232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1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0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9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4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80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07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28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79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88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231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494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940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990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024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9353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840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12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51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51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124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3820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5420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528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214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E5784-16FE-48FA-9D4D-AE518897F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8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Khongwar , Komanly</dc:creator>
  <cp:lastModifiedBy>Cmslbc Meghalaya</cp:lastModifiedBy>
  <cp:revision>216</cp:revision>
  <cp:lastPrinted>2023-05-19T08:02:00Z</cp:lastPrinted>
  <dcterms:created xsi:type="dcterms:W3CDTF">2023-05-09T12:44:00Z</dcterms:created>
  <dcterms:modified xsi:type="dcterms:W3CDTF">2023-06-27T13:45:00Z</dcterms:modified>
</cp:coreProperties>
</file>